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9C061" w14:textId="3C836697" w:rsidR="00C87C73" w:rsidRPr="00C87C73" w:rsidRDefault="00C87C73" w:rsidP="00C87C73">
      <w:pPr>
        <w:spacing w:after="0" w:line="240" w:lineRule="auto"/>
        <w:jc w:val="both"/>
        <w:rPr>
          <w:rFonts w:ascii="Palatino Linotype" w:hAnsi="Palatino Linotype"/>
          <w:b/>
          <w:bCs/>
          <w:sz w:val="28"/>
          <w:szCs w:val="28"/>
          <w:lang w:val="en-US"/>
        </w:rPr>
      </w:pPr>
      <w:r w:rsidRPr="00C87C73">
        <w:rPr>
          <w:rFonts w:ascii="Palatino Linotype" w:hAnsi="Palatino Linotype"/>
          <w:b/>
          <w:bCs/>
          <w:sz w:val="28"/>
          <w:szCs w:val="28"/>
          <w:lang w:val="en-US"/>
        </w:rPr>
        <w:t>KONSEP DIKOTOMI DAN DESTINASI JIWA SETELAH KEMATIAN</w:t>
      </w:r>
    </w:p>
    <w:p w14:paraId="4DB621BA" w14:textId="77777777" w:rsidR="00C87C73" w:rsidRPr="00C87C73" w:rsidRDefault="00C87C73" w:rsidP="00C87C73">
      <w:pPr>
        <w:spacing w:after="0" w:line="240" w:lineRule="auto"/>
        <w:jc w:val="both"/>
        <w:rPr>
          <w:rFonts w:ascii="Palatino Linotype" w:hAnsi="Palatino Linotype"/>
          <w:b/>
          <w:bCs/>
          <w:sz w:val="28"/>
          <w:szCs w:val="28"/>
          <w:lang w:val="en-US"/>
        </w:rPr>
      </w:pPr>
      <w:r w:rsidRPr="00C87C73">
        <w:rPr>
          <w:rFonts w:ascii="Palatino Linotype" w:hAnsi="Palatino Linotype"/>
          <w:b/>
          <w:bCs/>
          <w:sz w:val="28"/>
          <w:szCs w:val="28"/>
          <w:lang w:val="en-US"/>
        </w:rPr>
        <w:t xml:space="preserve">Sebuah Kajian Eksegetis, Historis dan Sistematis dalam Perspektif Teologi Injili </w:t>
      </w:r>
    </w:p>
    <w:p w14:paraId="60673C10" w14:textId="5F38CA44" w:rsidR="007704FA" w:rsidRDefault="007704FA" w:rsidP="00C87C73">
      <w:pPr>
        <w:spacing w:after="0" w:line="240" w:lineRule="auto"/>
        <w:jc w:val="both"/>
        <w:rPr>
          <w:rFonts w:ascii="Palatino Linotype" w:hAnsi="Palatino Linotype"/>
          <w:sz w:val="30"/>
          <w:szCs w:val="30"/>
        </w:rPr>
      </w:pPr>
    </w:p>
    <w:p w14:paraId="73782533" w14:textId="6907FDDF" w:rsidR="007704FA" w:rsidRDefault="00C34449" w:rsidP="00316FEF">
      <w:pPr>
        <w:spacing w:after="0" w:line="240" w:lineRule="auto"/>
        <w:jc w:val="both"/>
        <w:rPr>
          <w:rFonts w:ascii="Palatino Linotype" w:hAnsi="Palatino Linotype"/>
          <w:bCs/>
          <w:sz w:val="20"/>
          <w:szCs w:val="20"/>
          <w:lang w:val="en-US"/>
        </w:rPr>
      </w:pPr>
      <w:bookmarkStart w:id="0" w:name="_Hlk212021239"/>
      <w:r>
        <w:rPr>
          <w:rFonts w:ascii="Palatino Linotype" w:hAnsi="Palatino Linotype"/>
          <w:sz w:val="20"/>
          <w:szCs w:val="20"/>
          <w:lang w:val="en-US"/>
        </w:rPr>
        <w:t>Eben H</w:t>
      </w:r>
      <w:r w:rsidR="008565E2">
        <w:rPr>
          <w:rFonts w:ascii="Palatino Linotype" w:hAnsi="Palatino Linotype"/>
          <w:sz w:val="20"/>
          <w:szCs w:val="20"/>
          <w:lang w:val="en-US"/>
        </w:rPr>
        <w:t>ezer</w:t>
      </w:r>
      <w:bookmarkStart w:id="1" w:name="_GoBack"/>
      <w:bookmarkEnd w:id="1"/>
      <w:r>
        <w:rPr>
          <w:rFonts w:ascii="Palatino Linotype" w:hAnsi="Palatino Linotype"/>
          <w:sz w:val="20"/>
          <w:szCs w:val="20"/>
          <w:lang w:val="en-US"/>
        </w:rPr>
        <w:t>. Plaimo</w:t>
      </w:r>
      <w:r w:rsidR="007704FA">
        <w:rPr>
          <w:rFonts w:ascii="Palatino Linotype" w:hAnsi="Palatino Linotype"/>
          <w:sz w:val="20"/>
          <w:szCs w:val="20"/>
          <w:lang w:val="en-US"/>
        </w:rPr>
        <w:t>,</w:t>
      </w:r>
      <w:r w:rsidR="007704FA">
        <w:rPr>
          <w:rFonts w:ascii="Palatino Linotype" w:hAnsi="Palatino Linotype"/>
          <w:sz w:val="20"/>
          <w:szCs w:val="20"/>
          <w:vertAlign w:val="superscript"/>
          <w:lang w:val="en-US"/>
        </w:rPr>
        <w:t xml:space="preserve"> </w:t>
      </w:r>
      <w:r>
        <w:rPr>
          <w:rFonts w:ascii="Palatino Linotype" w:hAnsi="Palatino Linotype"/>
          <w:sz w:val="20"/>
          <w:szCs w:val="20"/>
          <w:lang w:val="en-US"/>
        </w:rPr>
        <w:t>Nilam Rohi Mola</w:t>
      </w:r>
    </w:p>
    <w:p w14:paraId="63380B3D" w14:textId="72A9C331" w:rsidR="007704FA" w:rsidRDefault="00B61E1E" w:rsidP="00316FEF">
      <w:pPr>
        <w:spacing w:after="0" w:line="240" w:lineRule="auto"/>
        <w:jc w:val="both"/>
        <w:rPr>
          <w:rFonts w:ascii="Palatino Linotype" w:hAnsi="Palatino Linotype"/>
          <w:bCs/>
          <w:sz w:val="20"/>
          <w:szCs w:val="20"/>
          <w:lang w:val="en-US"/>
        </w:rPr>
      </w:pPr>
      <w:r>
        <w:rPr>
          <w:rFonts w:ascii="Palatino Linotype" w:hAnsi="Palatino Linotype"/>
          <w:bCs/>
          <w:sz w:val="20"/>
          <w:szCs w:val="20"/>
          <w:lang w:val="en-US"/>
        </w:rPr>
        <w:t>Teologi</w:t>
      </w:r>
      <w:r w:rsidR="007704FA">
        <w:rPr>
          <w:rFonts w:ascii="Palatino Linotype" w:hAnsi="Palatino Linotype"/>
          <w:bCs/>
          <w:sz w:val="20"/>
          <w:szCs w:val="20"/>
          <w:lang w:val="en-US"/>
        </w:rPr>
        <w:t xml:space="preserve">, </w:t>
      </w:r>
      <w:r>
        <w:rPr>
          <w:rFonts w:ascii="Palatino Linotype" w:hAnsi="Palatino Linotype"/>
          <w:bCs/>
          <w:sz w:val="20"/>
          <w:szCs w:val="20"/>
          <w:lang w:val="en-US"/>
        </w:rPr>
        <w:t>STTII Kupang</w:t>
      </w:r>
      <w:r w:rsidR="007704FA">
        <w:rPr>
          <w:rFonts w:ascii="Palatino Linotype" w:hAnsi="Palatino Linotype"/>
          <w:bCs/>
          <w:sz w:val="20"/>
          <w:szCs w:val="20"/>
          <w:lang w:val="en-US"/>
        </w:rPr>
        <w:t xml:space="preserve">, </w:t>
      </w:r>
      <w:r>
        <w:rPr>
          <w:rFonts w:ascii="Palatino Linotype" w:hAnsi="Palatino Linotype"/>
          <w:bCs/>
          <w:sz w:val="20"/>
          <w:szCs w:val="20"/>
          <w:lang w:val="en-US"/>
        </w:rPr>
        <w:t>Kupang</w:t>
      </w:r>
    </w:p>
    <w:p w14:paraId="78140AC8" w14:textId="4CBCEDF4" w:rsidR="007704FA" w:rsidRPr="008F7FCC" w:rsidRDefault="007704FA" w:rsidP="00316FEF">
      <w:pPr>
        <w:spacing w:after="0" w:line="240" w:lineRule="auto"/>
        <w:jc w:val="both"/>
        <w:rPr>
          <w:rFonts w:ascii="Palatino Linotype" w:hAnsi="Palatino Linotype"/>
          <w:i/>
          <w:sz w:val="20"/>
          <w:szCs w:val="20"/>
          <w:lang w:val="en-US"/>
        </w:rPr>
      </w:pPr>
      <w:r>
        <w:rPr>
          <w:rFonts w:ascii="Palatino Linotype" w:hAnsi="Palatino Linotype"/>
          <w:i/>
          <w:sz w:val="20"/>
          <w:szCs w:val="20"/>
          <w:lang w:val="en-US"/>
        </w:rPr>
        <w:t>Email</w:t>
      </w:r>
      <w:r w:rsidRPr="008F7FCC">
        <w:rPr>
          <w:rFonts w:ascii="Palatino Linotype" w:hAnsi="Palatino Linotype"/>
          <w:i/>
          <w:sz w:val="20"/>
          <w:szCs w:val="20"/>
          <w:lang w:val="en-US"/>
        </w:rPr>
        <w:t xml:space="preserve">: </w:t>
      </w:r>
      <w:hyperlink r:id="rId9" w:history="1">
        <w:r w:rsidR="00B61E1E" w:rsidRPr="00B61E1E">
          <w:rPr>
            <w:rStyle w:val="Hyperlink"/>
            <w:rFonts w:ascii="Arial" w:eastAsia="Arial" w:hAnsi="Arial" w:cs="Arial"/>
            <w:i/>
            <w:lang w:val="en-GB"/>
          </w:rPr>
          <w:t>ebenhezerplaimo@gmail.com</w:t>
        </w:r>
      </w:hyperlink>
      <w:r w:rsidR="00B61E1E">
        <w:rPr>
          <w:rFonts w:ascii="Arial" w:eastAsia="Arial" w:hAnsi="Arial" w:cs="Arial"/>
          <w:i/>
          <w:color w:val="0000FF"/>
          <w:u w:val="single"/>
          <w:lang w:val="en-GB"/>
        </w:rPr>
        <w:t>.</w:t>
      </w:r>
    </w:p>
    <w:bookmarkEnd w:id="0"/>
    <w:p w14:paraId="33EEA2E1" w14:textId="77777777" w:rsidR="007704FA" w:rsidRDefault="007704FA" w:rsidP="007704FA">
      <w:pPr>
        <w:spacing w:after="0" w:line="240" w:lineRule="auto"/>
        <w:rPr>
          <w:rFonts w:ascii="Palatino Linotype" w:hAnsi="Palatino Linotype"/>
          <w:sz w:val="20"/>
          <w:szCs w:val="20"/>
          <w:lang w:val="en-US"/>
        </w:rPr>
      </w:pPr>
    </w:p>
    <w:p w14:paraId="64EB4DE7" w14:textId="77777777" w:rsidR="007704FA" w:rsidRDefault="007704FA" w:rsidP="007704FA">
      <w:pPr>
        <w:spacing w:after="0" w:line="240" w:lineRule="auto"/>
        <w:rPr>
          <w:rFonts w:ascii="Palatino Linotype" w:hAnsi="Palatino Linotype"/>
          <w:sz w:val="20"/>
          <w:szCs w:val="20"/>
          <w:lang w:val="en-US"/>
        </w:rPr>
      </w:pPr>
    </w:p>
    <w:p w14:paraId="321891A7" w14:textId="77777777" w:rsidR="007704FA" w:rsidRDefault="007704FA" w:rsidP="007704FA">
      <w:pPr>
        <w:spacing w:after="0" w:line="240" w:lineRule="auto"/>
        <w:rPr>
          <w:rFonts w:ascii="Palatino Linotype" w:hAnsi="Palatino Linotype"/>
          <w:b/>
          <w:sz w:val="20"/>
          <w:szCs w:val="20"/>
          <w:lang w:val="en-US"/>
        </w:rPr>
      </w:pPr>
      <w:r w:rsidRPr="008F7FCC">
        <w:rPr>
          <w:rFonts w:ascii="Palatino Linotype" w:hAnsi="Palatino Linotype"/>
          <w:b/>
          <w:sz w:val="20"/>
          <w:szCs w:val="20"/>
          <w:lang w:val="en-US"/>
        </w:rPr>
        <w:t>Abstra</w:t>
      </w:r>
      <w:r>
        <w:rPr>
          <w:rFonts w:ascii="Palatino Linotype" w:hAnsi="Palatino Linotype"/>
          <w:b/>
          <w:sz w:val="20"/>
          <w:szCs w:val="20"/>
          <w:lang w:val="en-US"/>
        </w:rPr>
        <w:t>ct</w:t>
      </w:r>
    </w:p>
    <w:p w14:paraId="73987B5F" w14:textId="2BA85F34" w:rsidR="007704FA" w:rsidRPr="008D5FBB" w:rsidRDefault="00B81381" w:rsidP="00D2025D">
      <w:pPr>
        <w:spacing w:after="0" w:line="240" w:lineRule="auto"/>
        <w:jc w:val="both"/>
        <w:rPr>
          <w:rFonts w:ascii="Palatino Linotype" w:hAnsi="Palatino Linotype"/>
          <w:sz w:val="20"/>
          <w:szCs w:val="20"/>
          <w:lang w:val="en-US"/>
        </w:rPr>
      </w:pPr>
      <w:r w:rsidRPr="00B81381">
        <w:rPr>
          <w:rFonts w:ascii="Palatino Linotype" w:hAnsi="Palatino Linotype"/>
          <w:sz w:val="20"/>
          <w:szCs w:val="20"/>
          <w:lang w:val="en-US"/>
        </w:rPr>
        <w:t>The debate over human nature (trichotomy versus dichotomy) has direct implications for understanding the state of the soul after death. Various interpretations of the soul of the deceased have emerged, such as the notion of a wandering soul, the presence of apparitions of the deceased, communication with the deceased, and various other implementations. This article examines key texts of the Old and New Testaments exegetically, traces the historical development of the doctrine of anthropology within the church tradition, and evaluates its systematic implications. The study concludes that the dichotomy is more consistent with the overall biblical testimony, that spirit and soul are often used synonymously, and that after death the soul/spirit returns to God in existential consciousness while awaiting the resurrection of the body.</w:t>
      </w:r>
    </w:p>
    <w:p w14:paraId="3BC1E532" w14:textId="77777777" w:rsidR="007704FA" w:rsidRDefault="007704FA" w:rsidP="007704FA">
      <w:pPr>
        <w:spacing w:after="0" w:line="240" w:lineRule="auto"/>
        <w:rPr>
          <w:rFonts w:ascii="Palatino Linotype" w:hAnsi="Palatino Linotype"/>
          <w:sz w:val="20"/>
          <w:szCs w:val="20"/>
          <w:lang w:val="en-US"/>
        </w:rPr>
      </w:pPr>
    </w:p>
    <w:p w14:paraId="40E5BC6E" w14:textId="2295D2FD" w:rsidR="00FA7186" w:rsidRDefault="007704FA" w:rsidP="00FA7186">
      <w:pPr>
        <w:spacing w:after="0" w:line="240" w:lineRule="auto"/>
        <w:rPr>
          <w:rFonts w:ascii="Palatino Linotype" w:hAnsi="Palatino Linotype"/>
          <w:sz w:val="20"/>
          <w:szCs w:val="20"/>
          <w:lang w:val="en-US"/>
        </w:rPr>
      </w:pPr>
      <w:r w:rsidRPr="007704FA">
        <w:rPr>
          <w:rFonts w:ascii="Palatino Linotype" w:hAnsi="Palatino Linotype"/>
          <w:b/>
          <w:bCs/>
          <w:sz w:val="20"/>
          <w:szCs w:val="20"/>
          <w:lang w:val="en-US"/>
        </w:rPr>
        <w:t>Keywords:</w:t>
      </w:r>
      <w:r w:rsidRPr="008D5FBB">
        <w:rPr>
          <w:rFonts w:ascii="Palatino Linotype" w:hAnsi="Palatino Linotype"/>
          <w:sz w:val="20"/>
          <w:szCs w:val="20"/>
          <w:lang w:val="en-US"/>
        </w:rPr>
        <w:t xml:space="preserve"> </w:t>
      </w:r>
      <w:r w:rsidR="00FA7186" w:rsidRPr="00FA7186">
        <w:rPr>
          <w:rFonts w:ascii="Palatino Linotype" w:hAnsi="Palatino Linotype"/>
          <w:sz w:val="20"/>
          <w:szCs w:val="20"/>
          <w:lang w:val="en-US"/>
        </w:rPr>
        <w:t>dichotomy, trichotomy, soul, spirit, anthropology, eschatology, judgment.</w:t>
      </w:r>
    </w:p>
    <w:p w14:paraId="62B7BE11" w14:textId="487AA1E0" w:rsidR="007704FA" w:rsidRDefault="007704FA" w:rsidP="007704FA">
      <w:pPr>
        <w:spacing w:after="0" w:line="240" w:lineRule="auto"/>
        <w:rPr>
          <w:rFonts w:ascii="Palatino Linotype" w:hAnsi="Palatino Linotype"/>
        </w:rPr>
      </w:pPr>
    </w:p>
    <w:p w14:paraId="3E038C89" w14:textId="77777777" w:rsidR="007704FA" w:rsidRDefault="007704FA" w:rsidP="007704FA">
      <w:pPr>
        <w:spacing w:after="0" w:line="240" w:lineRule="auto"/>
        <w:jc w:val="both"/>
        <w:rPr>
          <w:rFonts w:ascii="Palatino Linotype" w:hAnsi="Palatino Linotype"/>
          <w:b/>
          <w:sz w:val="20"/>
          <w:szCs w:val="20"/>
          <w:lang w:val="en-US"/>
        </w:rPr>
      </w:pPr>
      <w:r w:rsidRPr="008F7FCC">
        <w:rPr>
          <w:rFonts w:ascii="Palatino Linotype" w:hAnsi="Palatino Linotype"/>
          <w:b/>
          <w:sz w:val="20"/>
          <w:szCs w:val="20"/>
          <w:lang w:val="en-US"/>
        </w:rPr>
        <w:t>Abstrak</w:t>
      </w:r>
    </w:p>
    <w:p w14:paraId="093F638B" w14:textId="3EDEC9E5" w:rsidR="006D39A0" w:rsidRPr="006D39A0" w:rsidRDefault="006D39A0" w:rsidP="006D39A0">
      <w:pPr>
        <w:spacing w:after="0" w:line="240" w:lineRule="auto"/>
        <w:jc w:val="both"/>
        <w:rPr>
          <w:rFonts w:ascii="Palatino Linotype" w:eastAsia="Palatino Linotype" w:hAnsi="Palatino Linotype" w:cs="Palatino Linotype"/>
          <w:color w:val="000000"/>
          <w:sz w:val="20"/>
          <w:szCs w:val="20"/>
          <w:lang w:val="en-US"/>
        </w:rPr>
      </w:pPr>
      <w:r w:rsidRPr="006D39A0">
        <w:rPr>
          <w:rFonts w:ascii="Palatino Linotype" w:eastAsia="Palatino Linotype" w:hAnsi="Palatino Linotype" w:cs="Palatino Linotype"/>
          <w:color w:val="000000"/>
          <w:sz w:val="20"/>
          <w:szCs w:val="20"/>
          <w:lang w:val="en-US"/>
        </w:rPr>
        <w:t xml:space="preserve">Perdebatan mengenai natur manusia (trikotomi versus dikotomi) memiliki implikasi langsung terhadap pemahaman tentang keadaan jiwa setelah kematian. Munculnya berbagai interpretasi tentang jiwa orang yang sudah meninggal, seperti pemahaman adanya jiwa yang gentayangan, adanya penampakan orang yang sudah meninggal, komunikasi dengan orang yang sudah meninggal, dan berbagai implementasi lainnya. Artikel ini mengkaji teks-teks kunci Perjanjian Lama dan Perjanjian Baru secara eksegetis, menelusuri perkembangan historis doktrin antropologi dalam tradisi gereja, serta mengevaluasi implikasi sistematisnya. Penelitian ini menyimpulkan bahwa dikotomi lebih konsisten dengan kesaksian Alkitab secara keseluruhan, bahwa roh dan jiwa sering digunakan </w:t>
      </w:r>
      <w:proofErr w:type="gramStart"/>
      <w:r w:rsidRPr="006D39A0">
        <w:rPr>
          <w:rFonts w:ascii="Palatino Linotype" w:eastAsia="Palatino Linotype" w:hAnsi="Palatino Linotype" w:cs="Palatino Linotype"/>
          <w:color w:val="000000"/>
          <w:sz w:val="20"/>
          <w:szCs w:val="20"/>
          <w:lang w:val="en-US"/>
        </w:rPr>
        <w:t xml:space="preserve">secara </w:t>
      </w:r>
      <w:r w:rsidR="00DF7C42">
        <w:rPr>
          <w:rFonts w:ascii="Palatino Linotype" w:eastAsia="Palatino Linotype" w:hAnsi="Palatino Linotype" w:cs="Palatino Linotype"/>
          <w:color w:val="000000"/>
          <w:sz w:val="20"/>
          <w:szCs w:val="20"/>
          <w:lang w:val="en-US"/>
        </w:rPr>
        <w:t xml:space="preserve"> </w:t>
      </w:r>
      <w:r w:rsidRPr="006D39A0">
        <w:rPr>
          <w:rFonts w:ascii="Palatino Linotype" w:eastAsia="Palatino Linotype" w:hAnsi="Palatino Linotype" w:cs="Palatino Linotype"/>
          <w:color w:val="000000"/>
          <w:sz w:val="20"/>
          <w:szCs w:val="20"/>
          <w:lang w:val="en-US"/>
        </w:rPr>
        <w:t>sinonim</w:t>
      </w:r>
      <w:proofErr w:type="gramEnd"/>
      <w:r w:rsidRPr="006D39A0">
        <w:rPr>
          <w:rFonts w:ascii="Palatino Linotype" w:eastAsia="Palatino Linotype" w:hAnsi="Palatino Linotype" w:cs="Palatino Linotype"/>
          <w:color w:val="000000"/>
          <w:sz w:val="20"/>
          <w:szCs w:val="20"/>
          <w:lang w:val="en-US"/>
        </w:rPr>
        <w:t>, dan bahwa setelah kematian jiwa/roh kembali kepada Allah dalam kesadaran eksistensial sambil menantikan kebangkitan tubuh.</w:t>
      </w:r>
    </w:p>
    <w:p w14:paraId="2B9ED490" w14:textId="77777777" w:rsidR="007704FA" w:rsidRPr="008F7FCC" w:rsidRDefault="007704FA" w:rsidP="007704FA">
      <w:pPr>
        <w:spacing w:after="0" w:line="240" w:lineRule="auto"/>
        <w:jc w:val="both"/>
        <w:rPr>
          <w:rFonts w:ascii="Palatino Linotype" w:hAnsi="Palatino Linotype"/>
          <w:sz w:val="20"/>
          <w:szCs w:val="20"/>
          <w:lang w:val="en-US"/>
        </w:rPr>
      </w:pPr>
    </w:p>
    <w:p w14:paraId="074D6FAF" w14:textId="2CF9F7D6" w:rsidR="007704FA" w:rsidRDefault="007704FA" w:rsidP="007704FA">
      <w:pPr>
        <w:spacing w:after="0" w:line="240" w:lineRule="auto"/>
        <w:jc w:val="both"/>
        <w:rPr>
          <w:rFonts w:ascii="Palatino Linotype" w:hAnsi="Palatino Linotype"/>
          <w:sz w:val="20"/>
          <w:szCs w:val="20"/>
          <w:lang w:val="en-US"/>
        </w:rPr>
      </w:pPr>
      <w:r w:rsidRPr="008F7FCC">
        <w:rPr>
          <w:rFonts w:ascii="Palatino Linotype" w:hAnsi="Palatino Linotype"/>
          <w:b/>
          <w:sz w:val="20"/>
          <w:szCs w:val="20"/>
          <w:lang w:val="en-US"/>
        </w:rPr>
        <w:t>K</w:t>
      </w:r>
      <w:r>
        <w:rPr>
          <w:rFonts w:ascii="Palatino Linotype" w:hAnsi="Palatino Linotype"/>
          <w:b/>
          <w:sz w:val="20"/>
          <w:szCs w:val="20"/>
          <w:lang w:val="en-US"/>
        </w:rPr>
        <w:t>ata Kunci</w:t>
      </w:r>
      <w:r w:rsidRPr="008F7FCC">
        <w:rPr>
          <w:rFonts w:ascii="Palatino Linotype" w:hAnsi="Palatino Linotype"/>
          <w:b/>
          <w:sz w:val="20"/>
          <w:szCs w:val="20"/>
          <w:lang w:val="en-US"/>
        </w:rPr>
        <w:t xml:space="preserve">: </w:t>
      </w:r>
      <w:r w:rsidR="006D39A0" w:rsidRPr="006D39A0">
        <w:rPr>
          <w:rFonts w:ascii="Palatino Linotype" w:hAnsi="Palatino Linotype"/>
          <w:bCs/>
          <w:sz w:val="20"/>
          <w:szCs w:val="20"/>
          <w:lang w:val="en-US"/>
        </w:rPr>
        <w:t>dikotomi, trikotomi, jiwa, roh, antropologi, eskatologi, penghakiman.</w:t>
      </w:r>
    </w:p>
    <w:p w14:paraId="40C2381C" w14:textId="77777777" w:rsidR="007704FA" w:rsidRDefault="007704FA" w:rsidP="007704FA">
      <w:pPr>
        <w:spacing w:after="0" w:line="240" w:lineRule="auto"/>
        <w:rPr>
          <w:rFonts w:ascii="Palatino Linotype" w:hAnsi="Palatino Linotype"/>
          <w:sz w:val="20"/>
          <w:szCs w:val="20"/>
          <w:lang w:val="en-US"/>
        </w:rPr>
      </w:pPr>
    </w:p>
    <w:p w14:paraId="75EF521A" w14:textId="537C70F8" w:rsidR="007704FA" w:rsidRPr="00743344" w:rsidRDefault="007704FA" w:rsidP="007704FA">
      <w:pPr>
        <w:pBdr>
          <w:top w:val="nil"/>
          <w:left w:val="nil"/>
          <w:bottom w:val="nil"/>
          <w:right w:val="nil"/>
          <w:between w:val="nil"/>
        </w:pBdr>
        <w:tabs>
          <w:tab w:val="left" w:pos="360"/>
        </w:tabs>
        <w:spacing w:after="0" w:line="240" w:lineRule="auto"/>
        <w:rPr>
          <w:b/>
          <w:color w:val="000000"/>
          <w:sz w:val="26"/>
          <w:szCs w:val="26"/>
        </w:rPr>
      </w:pPr>
      <w:r w:rsidRPr="00743344">
        <w:rPr>
          <w:rFonts w:ascii="Palatino Linotype" w:eastAsia="Palatino Linotype" w:hAnsi="Palatino Linotype" w:cs="Palatino Linotype"/>
          <w:b/>
          <w:color w:val="000000"/>
          <w:sz w:val="26"/>
          <w:szCs w:val="26"/>
        </w:rPr>
        <w:t xml:space="preserve">Pendahuluan </w:t>
      </w:r>
    </w:p>
    <w:p w14:paraId="21FC1F1D" w14:textId="1A877FD4" w:rsidR="00DB4BA8" w:rsidRPr="00DB4BA8" w:rsidRDefault="00DB4BA8" w:rsidP="00836451">
      <w:pPr>
        <w:spacing w:after="0" w:line="240" w:lineRule="auto"/>
        <w:ind w:firstLine="1077"/>
        <w:jc w:val="both"/>
        <w:rPr>
          <w:rFonts w:ascii="Palatino Linotype" w:hAnsi="Palatino Linotype"/>
          <w:sz w:val="24"/>
          <w:szCs w:val="24"/>
          <w:lang w:val="en-US"/>
        </w:rPr>
      </w:pPr>
      <w:r w:rsidRPr="00DB4BA8">
        <w:rPr>
          <w:rFonts w:ascii="Palatino Linotype" w:hAnsi="Palatino Linotype"/>
          <w:sz w:val="24"/>
          <w:szCs w:val="24"/>
          <w:lang w:val="en-US"/>
        </w:rPr>
        <w:t>Pertanyaan mengenai ke mana manusia pergi setelah kematian bukan hanya isu pastoral, melainkan juga persoalan ontologis dan sistematis dalam teologi Kristen. Rasul Paulus menekankan dalam suratnya</w:t>
      </w:r>
      <w:r w:rsidR="0011118E">
        <w:rPr>
          <w:rFonts w:ascii="Palatino Linotype" w:hAnsi="Palatino Linotype"/>
          <w:sz w:val="24"/>
          <w:szCs w:val="24"/>
          <w:lang w:val="en-US"/>
        </w:rPr>
        <w:t xml:space="preserve"> </w:t>
      </w:r>
      <w:r w:rsidRPr="00DB4BA8">
        <w:rPr>
          <w:rFonts w:ascii="Palatino Linotype" w:hAnsi="Palatino Linotype"/>
          <w:sz w:val="24"/>
          <w:szCs w:val="24"/>
          <w:lang w:val="en-US"/>
        </w:rPr>
        <w:t xml:space="preserve">(1 Tes. 4:13–18), ada indikasi tidak memiliki pemahaman yang cukup tentang suatu peristiwa kematiaan, membuat orang tersebut tidak memiliki pengharapan. </w:t>
      </w:r>
      <w:proofErr w:type="gramStart"/>
      <w:r w:rsidRPr="00DB4BA8">
        <w:rPr>
          <w:rFonts w:ascii="Palatino Linotype" w:hAnsi="Palatino Linotype"/>
          <w:sz w:val="24"/>
          <w:szCs w:val="24"/>
          <w:lang w:val="en-US"/>
        </w:rPr>
        <w:t>Sehingga  diskusi</w:t>
      </w:r>
      <w:proofErr w:type="gramEnd"/>
      <w:r w:rsidRPr="00DB4BA8">
        <w:rPr>
          <w:rFonts w:ascii="Palatino Linotype" w:hAnsi="Palatino Linotype"/>
          <w:sz w:val="24"/>
          <w:szCs w:val="24"/>
          <w:lang w:val="en-US"/>
        </w:rPr>
        <w:t xml:space="preserve"> mengenai natur manusia tetap menjadi fondasi untuk memahami keadaan setelah kematian.</w:t>
      </w:r>
    </w:p>
    <w:p w14:paraId="604261F7" w14:textId="3CB569E0" w:rsidR="00DB4BA8" w:rsidRPr="00DB4BA8" w:rsidRDefault="00DB4BA8" w:rsidP="00DB4BA8">
      <w:pPr>
        <w:spacing w:after="0" w:line="240" w:lineRule="auto"/>
        <w:jc w:val="both"/>
        <w:rPr>
          <w:rFonts w:ascii="Palatino Linotype" w:hAnsi="Palatino Linotype"/>
          <w:sz w:val="24"/>
          <w:szCs w:val="24"/>
          <w:lang w:val="en-US"/>
        </w:rPr>
      </w:pPr>
      <w:r w:rsidRPr="00DB4BA8">
        <w:rPr>
          <w:rFonts w:ascii="Palatino Linotype" w:hAnsi="Palatino Linotype"/>
          <w:sz w:val="24"/>
          <w:szCs w:val="24"/>
          <w:lang w:val="en-US"/>
        </w:rPr>
        <w:lastRenderedPageBreak/>
        <w:t>Dua posisi utama dalam antropologi Kristen adalah trikotomi (tubuh, jiwa, roh) dan dikotomi (tubuh dan jiwa/roh). Artikel ini berargumen bahwa dikotomi lebih alkitabiah dan lebih konsisten secara teologis</w:t>
      </w:r>
      <w:r w:rsidR="00516AA4">
        <w:rPr>
          <w:rStyle w:val="FootnoteReference"/>
          <w:rFonts w:ascii="Palatino Linotype" w:hAnsi="Palatino Linotype"/>
          <w:sz w:val="24"/>
          <w:szCs w:val="24"/>
          <w:lang w:val="en-US"/>
        </w:rPr>
        <w:footnoteReference w:id="1"/>
      </w:r>
      <w:r w:rsidR="00387911">
        <w:rPr>
          <w:rFonts w:ascii="Palatino Linotype" w:hAnsi="Palatino Linotype"/>
          <w:sz w:val="24"/>
          <w:szCs w:val="24"/>
          <w:lang w:val="en-US"/>
        </w:rPr>
        <w:t>.</w:t>
      </w:r>
    </w:p>
    <w:p w14:paraId="2B0F3A80" w14:textId="77777777" w:rsidR="00271725" w:rsidRDefault="00DB4BA8" w:rsidP="00DB4BA8">
      <w:pPr>
        <w:spacing w:after="0" w:line="240" w:lineRule="auto"/>
        <w:jc w:val="both"/>
        <w:rPr>
          <w:rFonts w:ascii="Palatino Linotype" w:hAnsi="Palatino Linotype"/>
          <w:sz w:val="24"/>
          <w:szCs w:val="24"/>
        </w:rPr>
      </w:pPr>
      <w:r w:rsidRPr="00DB4BA8">
        <w:rPr>
          <w:rFonts w:ascii="Palatino Linotype" w:hAnsi="Palatino Linotype"/>
          <w:sz w:val="24"/>
          <w:szCs w:val="24"/>
        </w:rPr>
        <w:t xml:space="preserve">Berkhof membangun argumennya di atas tiga pilar utama: </w:t>
      </w:r>
    </w:p>
    <w:p w14:paraId="6DB5370A" w14:textId="6E43688F" w:rsidR="00DB4BA8" w:rsidRPr="00DB4BA8" w:rsidRDefault="00DB4BA8" w:rsidP="00271725">
      <w:pPr>
        <w:spacing w:after="0" w:line="240" w:lineRule="auto"/>
        <w:ind w:firstLine="1077"/>
        <w:jc w:val="both"/>
        <w:rPr>
          <w:rFonts w:ascii="Palatino Linotype" w:hAnsi="Palatino Linotype"/>
          <w:sz w:val="24"/>
          <w:szCs w:val="24"/>
        </w:rPr>
      </w:pPr>
      <w:r w:rsidRPr="00DB4BA8">
        <w:rPr>
          <w:rFonts w:ascii="Palatino Linotype" w:hAnsi="Palatino Linotype"/>
          <w:sz w:val="24"/>
          <w:szCs w:val="24"/>
        </w:rPr>
        <w:t>Pertama Penggunaan Istilah yang Saling Bertukar, ia menekankan bahwa dalam Alkitab: “jiwa” (nephesh/psuchē</w:t>
      </w:r>
      <w:proofErr w:type="gramStart"/>
      <w:r w:rsidRPr="00DB4BA8">
        <w:rPr>
          <w:rFonts w:ascii="Palatino Linotype" w:hAnsi="Palatino Linotype"/>
          <w:sz w:val="24"/>
          <w:szCs w:val="24"/>
        </w:rPr>
        <w:t>) ;</w:t>
      </w:r>
      <w:proofErr w:type="gramEnd"/>
      <w:r w:rsidRPr="00DB4BA8">
        <w:rPr>
          <w:rFonts w:ascii="Palatino Linotype" w:hAnsi="Palatino Linotype"/>
          <w:sz w:val="24"/>
          <w:szCs w:val="24"/>
        </w:rPr>
        <w:t xml:space="preserve"> “roh” (ruach/pneuma) dipakai secara bergantian untuk menunjuk prinsip kehidupan batin manusia.</w:t>
      </w:r>
    </w:p>
    <w:p w14:paraId="5C0D7391" w14:textId="77777777" w:rsidR="00DB4BA8" w:rsidRPr="00DB4BA8" w:rsidRDefault="00DB4BA8" w:rsidP="00DB4BA8">
      <w:pPr>
        <w:spacing w:after="0" w:line="240" w:lineRule="auto"/>
        <w:jc w:val="both"/>
        <w:rPr>
          <w:rFonts w:ascii="Palatino Linotype" w:hAnsi="Palatino Linotype"/>
          <w:sz w:val="24"/>
          <w:szCs w:val="24"/>
        </w:rPr>
      </w:pPr>
      <w:r w:rsidRPr="00DB4BA8">
        <w:rPr>
          <w:rFonts w:ascii="Palatino Linotype" w:hAnsi="Palatino Linotype"/>
          <w:sz w:val="24"/>
          <w:szCs w:val="24"/>
        </w:rPr>
        <w:t>Contoh yang sering dipakai dalam diskursus ini:</w:t>
      </w:r>
    </w:p>
    <w:p w14:paraId="0B17621D" w14:textId="77777777" w:rsidR="00DB4BA8" w:rsidRPr="00DB4BA8" w:rsidRDefault="00DB4BA8" w:rsidP="00DB4BA8">
      <w:pPr>
        <w:numPr>
          <w:ilvl w:val="0"/>
          <w:numId w:val="1"/>
        </w:numPr>
        <w:spacing w:after="0" w:line="240" w:lineRule="auto"/>
        <w:jc w:val="both"/>
        <w:rPr>
          <w:rFonts w:ascii="Palatino Linotype" w:hAnsi="Palatino Linotype"/>
          <w:sz w:val="24"/>
          <w:szCs w:val="24"/>
        </w:rPr>
      </w:pPr>
      <w:r w:rsidRPr="00DB4BA8">
        <w:rPr>
          <w:rFonts w:ascii="Palatino Linotype" w:hAnsi="Palatino Linotype"/>
          <w:sz w:val="24"/>
          <w:szCs w:val="24"/>
        </w:rPr>
        <w:t>Lukas 1:46–47 (jiwa/roh dalam paralelisme)</w:t>
      </w:r>
    </w:p>
    <w:p w14:paraId="1B1B9D3F" w14:textId="77777777" w:rsidR="00DB4BA8" w:rsidRPr="00DB4BA8" w:rsidRDefault="00DB4BA8" w:rsidP="00DB4BA8">
      <w:pPr>
        <w:numPr>
          <w:ilvl w:val="0"/>
          <w:numId w:val="1"/>
        </w:numPr>
        <w:spacing w:after="0" w:line="240" w:lineRule="auto"/>
        <w:jc w:val="both"/>
        <w:rPr>
          <w:rFonts w:ascii="Palatino Linotype" w:hAnsi="Palatino Linotype"/>
          <w:sz w:val="24"/>
          <w:szCs w:val="24"/>
        </w:rPr>
      </w:pPr>
      <w:r w:rsidRPr="00DB4BA8">
        <w:rPr>
          <w:rFonts w:ascii="Palatino Linotype" w:hAnsi="Palatino Linotype"/>
          <w:sz w:val="24"/>
          <w:szCs w:val="24"/>
        </w:rPr>
        <w:t>Matius 10:28 (jiwa)</w:t>
      </w:r>
    </w:p>
    <w:p w14:paraId="0D6C41E5" w14:textId="77777777" w:rsidR="00DB4BA8" w:rsidRPr="00DB4BA8" w:rsidRDefault="00DB4BA8" w:rsidP="00DB4BA8">
      <w:pPr>
        <w:numPr>
          <w:ilvl w:val="0"/>
          <w:numId w:val="1"/>
        </w:numPr>
        <w:spacing w:after="0" w:line="240" w:lineRule="auto"/>
        <w:jc w:val="both"/>
        <w:rPr>
          <w:rFonts w:ascii="Palatino Linotype" w:hAnsi="Palatino Linotype"/>
          <w:sz w:val="24"/>
          <w:szCs w:val="24"/>
        </w:rPr>
      </w:pPr>
      <w:r w:rsidRPr="00DB4BA8">
        <w:rPr>
          <w:rFonts w:ascii="Palatino Linotype" w:hAnsi="Palatino Linotype"/>
          <w:sz w:val="24"/>
          <w:szCs w:val="24"/>
        </w:rPr>
        <w:t>Pengkhotbah 12:7 (roh kembali kepada Allah)</w:t>
      </w:r>
    </w:p>
    <w:p w14:paraId="00167C3F" w14:textId="77777777" w:rsidR="00271725" w:rsidRDefault="00DB4BA8" w:rsidP="00DB4BA8">
      <w:pPr>
        <w:spacing w:after="0" w:line="240" w:lineRule="auto"/>
        <w:jc w:val="both"/>
        <w:rPr>
          <w:rFonts w:ascii="Palatino Linotype" w:hAnsi="Palatino Linotype"/>
          <w:sz w:val="24"/>
          <w:szCs w:val="24"/>
        </w:rPr>
      </w:pPr>
      <w:r w:rsidRPr="00DB4BA8">
        <w:rPr>
          <w:rFonts w:ascii="Palatino Linotype" w:hAnsi="Palatino Linotype"/>
          <w:sz w:val="24"/>
          <w:szCs w:val="24"/>
        </w:rPr>
        <w:t>Berkhof melihat ini sebagai bukti bahwa Alkitab tidak mengajarkan dua substansi immaterial yang berbeda.</w:t>
      </w:r>
    </w:p>
    <w:p w14:paraId="0D28B706" w14:textId="7DB3D223" w:rsidR="00DB4BA8" w:rsidRPr="00DB4BA8" w:rsidRDefault="00DB4BA8" w:rsidP="00271725">
      <w:pPr>
        <w:spacing w:after="0" w:line="240" w:lineRule="auto"/>
        <w:ind w:firstLine="1077"/>
        <w:jc w:val="both"/>
        <w:rPr>
          <w:rFonts w:ascii="Palatino Linotype" w:hAnsi="Palatino Linotype"/>
          <w:sz w:val="24"/>
          <w:szCs w:val="24"/>
        </w:rPr>
      </w:pPr>
      <w:r w:rsidRPr="00DB4BA8">
        <w:rPr>
          <w:rFonts w:ascii="Palatino Linotype" w:hAnsi="Palatino Linotype"/>
          <w:sz w:val="24"/>
          <w:szCs w:val="24"/>
        </w:rPr>
        <w:t>Kedua Kritik terhadap 1 Tesalonika 5:23 dan Ibrani 4:12</w:t>
      </w:r>
    </w:p>
    <w:p w14:paraId="6E0229EF" w14:textId="77777777" w:rsidR="00DB4BA8" w:rsidRPr="00DB4BA8" w:rsidRDefault="00DB4BA8" w:rsidP="00DB4BA8">
      <w:pPr>
        <w:spacing w:after="0" w:line="240" w:lineRule="auto"/>
        <w:jc w:val="both"/>
        <w:rPr>
          <w:rFonts w:ascii="Palatino Linotype" w:hAnsi="Palatino Linotype"/>
          <w:sz w:val="24"/>
          <w:szCs w:val="24"/>
        </w:rPr>
      </w:pPr>
      <w:r w:rsidRPr="00DB4BA8">
        <w:rPr>
          <w:rFonts w:ascii="Palatino Linotype" w:hAnsi="Palatino Linotype"/>
          <w:sz w:val="24"/>
          <w:szCs w:val="24"/>
        </w:rPr>
        <w:t>Trikotomis biasanya mendasarkan diri pada: 1 Tesalonika 5:23; Ibrani 4:12</w:t>
      </w:r>
    </w:p>
    <w:p w14:paraId="640F9DF9" w14:textId="77777777" w:rsidR="00DB4BA8" w:rsidRPr="00DB4BA8" w:rsidRDefault="00DB4BA8" w:rsidP="00DB4BA8">
      <w:pPr>
        <w:spacing w:after="0" w:line="240" w:lineRule="auto"/>
        <w:jc w:val="both"/>
        <w:rPr>
          <w:rFonts w:ascii="Palatino Linotype" w:hAnsi="Palatino Linotype"/>
          <w:sz w:val="24"/>
          <w:szCs w:val="24"/>
        </w:rPr>
      </w:pPr>
      <w:r w:rsidRPr="00DB4BA8">
        <w:rPr>
          <w:rFonts w:ascii="Palatino Linotype" w:hAnsi="Palatino Linotype"/>
          <w:sz w:val="24"/>
          <w:szCs w:val="24"/>
        </w:rPr>
        <w:t>Namun Berkhof menyatakan bahwa ayat-ayat tersebut bersifat retoris dan menyatakan totalitas manusia, bukan ontologi metafisik.</w:t>
      </w:r>
    </w:p>
    <w:p w14:paraId="462C45E1" w14:textId="63CEF719" w:rsidR="00DB4BA8" w:rsidRPr="00DB4BA8" w:rsidRDefault="00DB4BA8" w:rsidP="00DB4BA8">
      <w:pPr>
        <w:spacing w:after="0" w:line="240" w:lineRule="auto"/>
        <w:jc w:val="both"/>
        <w:rPr>
          <w:rFonts w:ascii="Palatino Linotype" w:hAnsi="Palatino Linotype"/>
          <w:sz w:val="24"/>
          <w:szCs w:val="24"/>
        </w:rPr>
      </w:pPr>
      <w:r w:rsidRPr="00DB4BA8">
        <w:rPr>
          <w:rFonts w:ascii="Palatino Linotype" w:hAnsi="Palatino Linotype"/>
          <w:sz w:val="24"/>
          <w:szCs w:val="24"/>
        </w:rPr>
        <w:t>Berkhof melihatnya sebagai gaya bahasa Semitik yang menekankan kelengkapan, seperti: “hati, jiwa, akal budi, kekuatan” (Mrk 12:30)</w:t>
      </w:r>
      <w:r w:rsidR="000C3FF5">
        <w:rPr>
          <w:rFonts w:ascii="Palatino Linotype" w:hAnsi="Palatino Linotype"/>
          <w:sz w:val="24"/>
          <w:szCs w:val="24"/>
        </w:rPr>
        <w:t>.</w:t>
      </w:r>
    </w:p>
    <w:p w14:paraId="38741F2B" w14:textId="77777777" w:rsidR="00271725" w:rsidRDefault="00DB4BA8" w:rsidP="00DB4BA8">
      <w:pPr>
        <w:spacing w:after="0" w:line="240" w:lineRule="auto"/>
        <w:jc w:val="both"/>
        <w:rPr>
          <w:rFonts w:ascii="Palatino Linotype" w:hAnsi="Palatino Linotype"/>
          <w:sz w:val="24"/>
          <w:szCs w:val="24"/>
        </w:rPr>
      </w:pPr>
      <w:r w:rsidRPr="00DB4BA8">
        <w:rPr>
          <w:rFonts w:ascii="Palatino Linotype" w:hAnsi="Palatino Linotype"/>
          <w:sz w:val="24"/>
          <w:szCs w:val="24"/>
        </w:rPr>
        <w:t xml:space="preserve">Artinya: bukan pembagian zat, melainkan penekanan keutuhan. </w:t>
      </w:r>
    </w:p>
    <w:p w14:paraId="2B819C36" w14:textId="4A2CDAE0" w:rsidR="00DB4BA8" w:rsidRPr="00DB4BA8" w:rsidRDefault="00DB4BA8" w:rsidP="00271725">
      <w:pPr>
        <w:spacing w:after="0" w:line="240" w:lineRule="auto"/>
        <w:ind w:firstLine="1077"/>
        <w:jc w:val="both"/>
        <w:rPr>
          <w:rFonts w:ascii="Palatino Linotype" w:hAnsi="Palatino Linotype"/>
          <w:sz w:val="24"/>
          <w:szCs w:val="24"/>
        </w:rPr>
      </w:pPr>
      <w:r w:rsidRPr="00DB4BA8">
        <w:rPr>
          <w:rFonts w:ascii="Palatino Linotype" w:hAnsi="Palatino Linotype"/>
          <w:sz w:val="24"/>
          <w:szCs w:val="24"/>
        </w:rPr>
        <w:t xml:space="preserve">Ketiga Pengaruh Filsafat Yunani. Berkhof juga menunjukkan bahwa trikotomi banyak berkembang dalam teologi awal (misalnya pada beberapa Bapa Gereja tertentu) yang dipengaruhi oleh filsafat Yunani, khususnya Platonisme, yang membagi manusia dalam strata rasional dan irasional. Bagi Berkhof, pendekatan Reformasi harus kembali pada kesaksian Alkitab, bukan pada konstruksi filsafat. </w:t>
      </w:r>
    </w:p>
    <w:p w14:paraId="2652846F" w14:textId="77777777" w:rsidR="00DB4BA8" w:rsidRPr="00DB4BA8" w:rsidRDefault="00DB4BA8" w:rsidP="00DB4BA8">
      <w:pPr>
        <w:spacing w:after="0" w:line="240" w:lineRule="auto"/>
        <w:jc w:val="both"/>
        <w:rPr>
          <w:rFonts w:ascii="Palatino Linotype" w:hAnsi="Palatino Linotype"/>
          <w:sz w:val="24"/>
          <w:szCs w:val="24"/>
        </w:rPr>
      </w:pPr>
      <w:r w:rsidRPr="00DB4BA8">
        <w:rPr>
          <w:rFonts w:ascii="Palatino Linotype" w:hAnsi="Palatino Linotype"/>
          <w:sz w:val="24"/>
          <w:szCs w:val="24"/>
        </w:rPr>
        <w:t>Dengan demikian, posisi Berkhof dapat dinilai sebagai representasi kuat dari antropologi Reformed klasik yang menekankan kesatuan dan integritas manusia. Akan tetapi, secara metodologis, diskursus ini tetap membuka ruang bagi eksplorasi lebih lanjut terhadap data biblika secara menyeluruh dan kontekstual.</w:t>
      </w:r>
    </w:p>
    <w:p w14:paraId="46AF4E5F" w14:textId="77777777" w:rsidR="00DB4BA8" w:rsidRDefault="00DB4BA8" w:rsidP="00DB4BA8">
      <w:pPr>
        <w:spacing w:after="0" w:line="240" w:lineRule="auto"/>
        <w:jc w:val="both"/>
        <w:rPr>
          <w:rFonts w:ascii="Palatino Linotype" w:hAnsi="Palatino Linotype"/>
          <w:sz w:val="24"/>
          <w:szCs w:val="24"/>
        </w:rPr>
      </w:pPr>
      <w:r w:rsidRPr="00DB4BA8">
        <w:rPr>
          <w:rFonts w:ascii="Palatino Linotype" w:hAnsi="Palatino Linotype"/>
          <w:sz w:val="24"/>
          <w:szCs w:val="24"/>
        </w:rPr>
        <w:t>Kesimpulan ini menjadi landasan penting bagi penelitian selanjutnya dalam jurnal ini, yakni untuk menelaah secara lebih mendalam apakah Alkitab secara normatif mengajarkan dikotomi sebagai struktur ontologis manusia, ataukah ia lebih menekankan kesatuan eksistensial manusia tanpa memberikan skema metafisik yang rigid. Dengan demikian, pembahasan berikutnya akan bergerak dari evaluasi teologi sistematika menuju analisis eksegetis yang lebih spesifik dan kontekstual terhadap teks-teks kunci yang menjadi dasar perdebatan ini.</w:t>
      </w:r>
    </w:p>
    <w:p w14:paraId="6FBB0745" w14:textId="77777777" w:rsidR="00516AA4" w:rsidRDefault="00516AA4" w:rsidP="00DB4BA8">
      <w:pPr>
        <w:spacing w:after="0" w:line="240" w:lineRule="auto"/>
        <w:jc w:val="both"/>
        <w:rPr>
          <w:rFonts w:ascii="Palatino Linotype" w:hAnsi="Palatino Linotype"/>
          <w:sz w:val="24"/>
          <w:szCs w:val="24"/>
        </w:rPr>
      </w:pPr>
    </w:p>
    <w:p w14:paraId="6D4647DA" w14:textId="77777777" w:rsidR="00516AA4" w:rsidRDefault="00516AA4" w:rsidP="00DB4BA8">
      <w:pPr>
        <w:spacing w:after="0" w:line="240" w:lineRule="auto"/>
        <w:jc w:val="both"/>
        <w:rPr>
          <w:rFonts w:ascii="Palatino Linotype" w:hAnsi="Palatino Linotype"/>
          <w:sz w:val="24"/>
          <w:szCs w:val="24"/>
        </w:rPr>
      </w:pPr>
    </w:p>
    <w:p w14:paraId="7CE0C42F" w14:textId="7A2AD2C0" w:rsidR="00DB4BA8" w:rsidRDefault="00DB4BA8" w:rsidP="007704FA">
      <w:pPr>
        <w:spacing w:after="0" w:line="240" w:lineRule="auto"/>
        <w:jc w:val="both"/>
        <w:rPr>
          <w:rFonts w:ascii="Palatino Linotype" w:hAnsi="Palatino Linotype"/>
          <w:sz w:val="24"/>
          <w:szCs w:val="24"/>
        </w:rPr>
      </w:pPr>
    </w:p>
    <w:p w14:paraId="5A11112E" w14:textId="5BCCF13E" w:rsidR="00516AA4" w:rsidRPr="00516AA4" w:rsidRDefault="007704FA" w:rsidP="00516AA4">
      <w:pPr>
        <w:spacing w:after="0" w:line="240" w:lineRule="auto"/>
        <w:rPr>
          <w:rFonts w:ascii="Palatino Linotype" w:hAnsi="Palatino Linotype"/>
          <w:b/>
          <w:sz w:val="26"/>
          <w:szCs w:val="26"/>
          <w:lang w:val="en-US"/>
        </w:rPr>
      </w:pPr>
      <w:r w:rsidRPr="00743344">
        <w:rPr>
          <w:rFonts w:ascii="Palatino Linotype" w:hAnsi="Palatino Linotype"/>
          <w:b/>
          <w:sz w:val="26"/>
          <w:szCs w:val="26"/>
          <w:lang w:val="en-US"/>
        </w:rPr>
        <w:t>Met</w:t>
      </w:r>
      <w:r w:rsidR="00516AA4">
        <w:rPr>
          <w:rFonts w:ascii="Palatino Linotype" w:hAnsi="Palatino Linotype"/>
          <w:b/>
          <w:sz w:val="26"/>
          <w:szCs w:val="26"/>
          <w:lang w:val="en-US"/>
        </w:rPr>
        <w:t>o</w:t>
      </w:r>
      <w:r w:rsidRPr="00743344">
        <w:rPr>
          <w:rFonts w:ascii="Palatino Linotype" w:hAnsi="Palatino Linotype"/>
          <w:b/>
          <w:sz w:val="26"/>
          <w:szCs w:val="26"/>
          <w:lang w:val="en-US"/>
        </w:rPr>
        <w:t>de</w:t>
      </w:r>
      <w:r>
        <w:rPr>
          <w:rFonts w:ascii="Palatino Linotype" w:hAnsi="Palatino Linotype"/>
          <w:b/>
          <w:sz w:val="26"/>
          <w:szCs w:val="26"/>
          <w:lang w:val="en-US"/>
        </w:rPr>
        <w:t xml:space="preserve"> Penelitian</w:t>
      </w:r>
      <w:r w:rsidRPr="00743344">
        <w:rPr>
          <w:rFonts w:ascii="Palatino Linotype" w:hAnsi="Palatino Linotype"/>
          <w:b/>
          <w:sz w:val="26"/>
          <w:szCs w:val="26"/>
          <w:lang w:val="en-US"/>
        </w:rPr>
        <w:t xml:space="preserve"> </w:t>
      </w:r>
    </w:p>
    <w:p w14:paraId="4F43DB8D" w14:textId="23D81EC2" w:rsidR="00A80F03" w:rsidRPr="000804F0" w:rsidRDefault="00A80F03" w:rsidP="00C304E0">
      <w:pPr>
        <w:spacing w:after="0" w:line="240" w:lineRule="auto"/>
        <w:ind w:firstLine="1134"/>
        <w:jc w:val="both"/>
        <w:rPr>
          <w:rFonts w:ascii="Palatino Linotype" w:hAnsi="Palatino Linotype"/>
          <w:lang w:val="en-US"/>
        </w:rPr>
      </w:pPr>
      <w:r>
        <w:rPr>
          <w:rFonts w:ascii="Palatino Linotype" w:hAnsi="Palatino Linotype"/>
          <w:sz w:val="24"/>
          <w:szCs w:val="24"/>
          <w:lang w:val="en-US"/>
        </w:rPr>
        <w:t>Perdebatan mengenai akhir perjalanan hidup manusia menimbulkan banyak pertanyaan, penjelasan tanpa dasar ditemui dalam berbagaia kalangan, sehinggga dalam penelitian ini akan membahas dengan terperinci secara alkitabiah. Penelitian ini menggunakan metode kualitatif dengan mengkaji teks-teks dalam Perjanjian Lama dan Perjanjian Baru secara eksegesis.</w:t>
      </w:r>
      <w:r w:rsidR="00C304E0">
        <w:rPr>
          <w:rFonts w:ascii="Palatino Linotype" w:hAnsi="Palatino Linotype"/>
          <w:sz w:val="24"/>
          <w:szCs w:val="24"/>
          <w:lang w:val="en-US"/>
        </w:rPr>
        <w:t xml:space="preserve"> Memberikan pengertian yang benar dan</w:t>
      </w:r>
      <w:r w:rsidR="00271725">
        <w:rPr>
          <w:rFonts w:ascii="Palatino Linotype" w:hAnsi="Palatino Linotype"/>
          <w:sz w:val="24"/>
          <w:szCs w:val="24"/>
          <w:lang w:val="en-US"/>
        </w:rPr>
        <w:t xml:space="preserve"> lebih mendalam mengenai kehidu</w:t>
      </w:r>
      <w:r w:rsidR="00836451">
        <w:rPr>
          <w:rFonts w:ascii="Palatino Linotype" w:hAnsi="Palatino Linotype"/>
          <w:sz w:val="24"/>
          <w:szCs w:val="24"/>
          <w:lang w:val="en-US"/>
        </w:rPr>
        <w:t>p</w:t>
      </w:r>
      <w:r w:rsidR="00271725">
        <w:rPr>
          <w:rFonts w:ascii="Palatino Linotype" w:hAnsi="Palatino Linotype"/>
          <w:sz w:val="24"/>
          <w:szCs w:val="24"/>
          <w:lang w:val="en-US"/>
        </w:rPr>
        <w:t xml:space="preserve">an manusia sejatinya setelah </w:t>
      </w:r>
      <w:r w:rsidR="00A9749F">
        <w:rPr>
          <w:rFonts w:ascii="Palatino Linotype" w:hAnsi="Palatino Linotype"/>
          <w:sz w:val="24"/>
          <w:szCs w:val="24"/>
          <w:lang w:val="en-US"/>
        </w:rPr>
        <w:t>kematian</w:t>
      </w:r>
      <w:r w:rsidR="00271725">
        <w:rPr>
          <w:rFonts w:ascii="Palatino Linotype" w:hAnsi="Palatino Linotype"/>
          <w:sz w:val="24"/>
          <w:szCs w:val="24"/>
          <w:lang w:val="en-US"/>
        </w:rPr>
        <w:t>.</w:t>
      </w:r>
    </w:p>
    <w:p w14:paraId="28BA6C5C" w14:textId="77777777" w:rsidR="00C304E0" w:rsidRDefault="00C304E0" w:rsidP="007704FA">
      <w:pPr>
        <w:spacing w:after="0" w:line="240" w:lineRule="auto"/>
        <w:rPr>
          <w:rFonts w:ascii="Palatino Linotype" w:hAnsi="Palatino Linotype"/>
          <w:sz w:val="24"/>
          <w:szCs w:val="24"/>
          <w:lang w:val="en-US"/>
        </w:rPr>
      </w:pPr>
    </w:p>
    <w:p w14:paraId="07EBF697" w14:textId="6EA708E3" w:rsidR="00635F55" w:rsidRDefault="00635F55" w:rsidP="00635F55">
      <w:pPr>
        <w:spacing w:after="0" w:line="240" w:lineRule="auto"/>
        <w:jc w:val="both"/>
        <w:rPr>
          <w:rFonts w:ascii="Palatino Linotype" w:hAnsi="Palatino Linotype"/>
          <w:b/>
          <w:sz w:val="26"/>
          <w:szCs w:val="26"/>
          <w:lang w:val="en-US"/>
        </w:rPr>
      </w:pPr>
      <w:r w:rsidRPr="00635F55">
        <w:rPr>
          <w:rFonts w:ascii="Palatino Linotype" w:hAnsi="Palatino Linotype"/>
          <w:b/>
          <w:bCs/>
          <w:sz w:val="26"/>
          <w:szCs w:val="26"/>
          <w:lang w:val="en-US"/>
        </w:rPr>
        <w:t>Kajian Eksegetis Perjanjian Lama</w:t>
      </w:r>
      <w:r w:rsidRPr="00635F55">
        <w:rPr>
          <w:rFonts w:ascii="Palatino Linotype" w:hAnsi="Palatino Linotype"/>
          <w:b/>
          <w:sz w:val="26"/>
          <w:szCs w:val="26"/>
          <w:lang w:val="en-US"/>
        </w:rPr>
        <w:t xml:space="preserve"> </w:t>
      </w:r>
    </w:p>
    <w:p w14:paraId="57B5D422" w14:textId="77777777" w:rsidR="00635F55" w:rsidRPr="00635F55" w:rsidRDefault="00635F55" w:rsidP="00516AA4">
      <w:pPr>
        <w:spacing w:after="0" w:line="240" w:lineRule="auto"/>
        <w:ind w:firstLine="1077"/>
        <w:jc w:val="both"/>
        <w:rPr>
          <w:rFonts w:ascii="Palatino Linotype" w:hAnsi="Palatino Linotype"/>
          <w:sz w:val="24"/>
          <w:szCs w:val="24"/>
          <w:lang w:val="en-US"/>
        </w:rPr>
      </w:pPr>
      <w:r w:rsidRPr="00635F55">
        <w:rPr>
          <w:rFonts w:ascii="Palatino Linotype" w:hAnsi="Palatino Linotype"/>
          <w:sz w:val="24"/>
          <w:szCs w:val="24"/>
          <w:lang w:val="en-US"/>
        </w:rPr>
        <w:t>Kejadian 2:7 merupakan teks antropologis fundamental. Struktur ayat menunjukkan dua elemen: ‘debu tanah’ (unsur material) dan ‘nafas hidup’ (neshamah). Hasilnya adalah manusia menjadi ‘makhluk hidup’ (nephesh chayyah). Teks ini tidak membedakan jiwa sebagai substansi terpisah dari roh, melainkan menunjuk pada totalitas kehidupan yang dianugerahkan Allah.</w:t>
      </w:r>
    </w:p>
    <w:p w14:paraId="7598027A" w14:textId="4ED6BF01" w:rsidR="00635F55" w:rsidRPr="00635F55" w:rsidRDefault="00635F55" w:rsidP="00516AA4">
      <w:pPr>
        <w:spacing w:after="0" w:line="240" w:lineRule="auto"/>
        <w:ind w:firstLine="1077"/>
        <w:jc w:val="both"/>
        <w:rPr>
          <w:rFonts w:ascii="Palatino Linotype" w:hAnsi="Palatino Linotype"/>
          <w:sz w:val="24"/>
          <w:szCs w:val="24"/>
          <w:lang w:val="en-US"/>
        </w:rPr>
      </w:pPr>
      <w:r w:rsidRPr="00635F55">
        <w:rPr>
          <w:rFonts w:ascii="Palatino Linotype" w:hAnsi="Palatino Linotype"/>
          <w:sz w:val="24"/>
          <w:szCs w:val="24"/>
          <w:lang w:val="en-US"/>
        </w:rPr>
        <w:t>Pengkhotbah 12:7 menyatakan bahwa debu kembali kepada tanah dan roh kembali kepada Allah. Paralelisme ini menegaskan dualitas material–immaterial</w:t>
      </w:r>
      <w:r w:rsidR="00AF2857">
        <w:rPr>
          <w:rStyle w:val="FootnoteReference"/>
          <w:rFonts w:ascii="Palatino Linotype" w:hAnsi="Palatino Linotype"/>
          <w:sz w:val="24"/>
          <w:szCs w:val="24"/>
          <w:lang w:val="en-US"/>
        </w:rPr>
        <w:footnoteReference w:id="2"/>
      </w:r>
      <w:r w:rsidR="00387911">
        <w:rPr>
          <w:rFonts w:ascii="Palatino Linotype" w:hAnsi="Palatino Linotype"/>
          <w:sz w:val="24"/>
          <w:szCs w:val="24"/>
          <w:lang w:val="en-US"/>
        </w:rPr>
        <w:t>.</w:t>
      </w:r>
    </w:p>
    <w:p w14:paraId="63A3F243" w14:textId="77777777" w:rsidR="00635F55" w:rsidRPr="00635F55" w:rsidRDefault="00635F55" w:rsidP="00964896">
      <w:pPr>
        <w:spacing w:after="0" w:line="240" w:lineRule="auto"/>
        <w:jc w:val="both"/>
        <w:rPr>
          <w:rFonts w:ascii="Palatino Linotype" w:hAnsi="Palatino Linotype"/>
          <w:sz w:val="24"/>
          <w:szCs w:val="24"/>
        </w:rPr>
      </w:pPr>
      <w:r w:rsidRPr="00635F55">
        <w:rPr>
          <w:rFonts w:ascii="Palatino Linotype" w:hAnsi="Palatino Linotype"/>
          <w:sz w:val="24"/>
          <w:szCs w:val="24"/>
        </w:rPr>
        <w:t xml:space="preserve">Dalam </w:t>
      </w:r>
      <w:r w:rsidRPr="00635F55">
        <w:rPr>
          <w:rFonts w:ascii="Palatino Linotype" w:hAnsi="Palatino Linotype"/>
          <w:i/>
          <w:iCs/>
          <w:sz w:val="24"/>
          <w:szCs w:val="24"/>
        </w:rPr>
        <w:t>Reformed Dogmatics</w:t>
      </w:r>
      <w:r w:rsidRPr="00635F55">
        <w:rPr>
          <w:rFonts w:ascii="Palatino Linotype" w:hAnsi="Palatino Linotype"/>
          <w:sz w:val="24"/>
          <w:szCs w:val="24"/>
        </w:rPr>
        <w:t>, Bavinck mengembangkan suatu antropologi teologis yang berakar kuat pada eksegesis Alkitab dan sekaligus kritis terhadap dualisme filsafat Yunani maupun reduksionisme materialistik modern. Ia berusaha mempertahankan:</w:t>
      </w:r>
    </w:p>
    <w:p w14:paraId="2391DC91" w14:textId="77777777" w:rsidR="00635F55" w:rsidRPr="00635F55" w:rsidRDefault="00635F55" w:rsidP="00964896">
      <w:pPr>
        <w:numPr>
          <w:ilvl w:val="0"/>
          <w:numId w:val="2"/>
        </w:numPr>
        <w:spacing w:after="0" w:line="240" w:lineRule="auto"/>
        <w:jc w:val="both"/>
        <w:rPr>
          <w:rFonts w:ascii="Palatino Linotype" w:hAnsi="Palatino Linotype"/>
          <w:sz w:val="24"/>
          <w:szCs w:val="24"/>
        </w:rPr>
      </w:pPr>
      <w:r w:rsidRPr="00635F55">
        <w:rPr>
          <w:rFonts w:ascii="Palatino Linotype" w:hAnsi="Palatino Linotype"/>
          <w:sz w:val="24"/>
          <w:szCs w:val="24"/>
        </w:rPr>
        <w:t>Kesatuan hakiki manusia</w:t>
      </w:r>
    </w:p>
    <w:p w14:paraId="2DC7738E" w14:textId="77777777" w:rsidR="00635F55" w:rsidRPr="00635F55" w:rsidRDefault="00635F55" w:rsidP="00964896">
      <w:pPr>
        <w:numPr>
          <w:ilvl w:val="0"/>
          <w:numId w:val="2"/>
        </w:numPr>
        <w:spacing w:after="0" w:line="240" w:lineRule="auto"/>
        <w:jc w:val="both"/>
        <w:rPr>
          <w:rFonts w:ascii="Palatino Linotype" w:hAnsi="Palatino Linotype"/>
          <w:sz w:val="24"/>
          <w:szCs w:val="24"/>
        </w:rPr>
      </w:pPr>
      <w:r w:rsidRPr="00635F55">
        <w:rPr>
          <w:rFonts w:ascii="Palatino Linotype" w:hAnsi="Palatino Linotype"/>
          <w:sz w:val="24"/>
          <w:szCs w:val="24"/>
        </w:rPr>
        <w:t>Pembedaan nyata antara aspek material dan immaterial</w:t>
      </w:r>
    </w:p>
    <w:p w14:paraId="57A8CFFF" w14:textId="77777777" w:rsidR="00635F55" w:rsidRPr="00635F55" w:rsidRDefault="00635F55" w:rsidP="00964896">
      <w:pPr>
        <w:numPr>
          <w:ilvl w:val="0"/>
          <w:numId w:val="2"/>
        </w:numPr>
        <w:spacing w:after="0" w:line="240" w:lineRule="auto"/>
        <w:jc w:val="both"/>
        <w:rPr>
          <w:rFonts w:ascii="Palatino Linotype" w:hAnsi="Palatino Linotype"/>
          <w:sz w:val="24"/>
          <w:szCs w:val="24"/>
        </w:rPr>
      </w:pPr>
      <w:r w:rsidRPr="00635F55">
        <w:rPr>
          <w:rFonts w:ascii="Palatino Linotype" w:hAnsi="Palatino Linotype"/>
          <w:sz w:val="24"/>
          <w:szCs w:val="24"/>
        </w:rPr>
        <w:t>Ketergantungan ontologis manusia kepada Allah</w:t>
      </w:r>
    </w:p>
    <w:p w14:paraId="0240596F" w14:textId="77777777" w:rsidR="00635F55" w:rsidRPr="00635F55" w:rsidRDefault="00635F55" w:rsidP="00964896">
      <w:pPr>
        <w:spacing w:after="0" w:line="240" w:lineRule="auto"/>
        <w:jc w:val="both"/>
        <w:rPr>
          <w:rFonts w:ascii="Palatino Linotype" w:hAnsi="Palatino Linotype"/>
          <w:sz w:val="24"/>
          <w:szCs w:val="24"/>
        </w:rPr>
      </w:pPr>
      <w:r w:rsidRPr="00635F55">
        <w:rPr>
          <w:rFonts w:ascii="Palatino Linotype" w:hAnsi="Palatino Linotype"/>
          <w:sz w:val="24"/>
          <w:szCs w:val="24"/>
        </w:rPr>
        <w:t xml:space="preserve">Kejadian 2:7 dan Pengkhotbah 12:7 menjadi dua teks kunci dalam konstruksi antropologinya. Bavinck menolak tafsiran yang menyatakan bahwa tubuh dibentuk terlebih dahulu, kemudian jiwa dimasukkan sebagai substansi terpisah. Menurutnya, teks tidak berbicara tentang dua substansi independen yang digabungkan, melainkan tentang satu tindakan kreatif yang menghasilkan satu pribadi hidup. Dengan demikian jiwa bukan “benda” yang ditambahkan., manusia bukan gabungan mekanis dua zat, dan “Makhluk hidup” menunjuk pada totalitas pribadi. Bavinck menekankan bahwa istilah ini juga dipakai untuk binatang (Kej. 1:20, 24). Maka: </w:t>
      </w:r>
      <w:r w:rsidRPr="00635F55">
        <w:rPr>
          <w:rFonts w:ascii="Palatino Linotype" w:hAnsi="Palatino Linotype"/>
          <w:i/>
          <w:iCs/>
          <w:sz w:val="24"/>
          <w:szCs w:val="24"/>
        </w:rPr>
        <w:t>Nephesh</w:t>
      </w:r>
      <w:r w:rsidRPr="00635F55">
        <w:rPr>
          <w:rFonts w:ascii="Palatino Linotype" w:hAnsi="Palatino Linotype"/>
          <w:sz w:val="24"/>
          <w:szCs w:val="24"/>
        </w:rPr>
        <w:t xml:space="preserve"> tidak identik dengan konsep jiwa rasional dalam tradisi Platonik. Istilah tersebut menunjuk pada kehidupan yang bernafas.</w:t>
      </w:r>
    </w:p>
    <w:p w14:paraId="512D27EF" w14:textId="77777777" w:rsidR="00EF68F1" w:rsidRDefault="00635F55" w:rsidP="00964896">
      <w:pPr>
        <w:spacing w:after="0" w:line="240" w:lineRule="auto"/>
        <w:jc w:val="both"/>
        <w:rPr>
          <w:rFonts w:ascii="Palatino Linotype" w:hAnsi="Palatino Linotype"/>
          <w:sz w:val="24"/>
          <w:szCs w:val="24"/>
        </w:rPr>
      </w:pPr>
      <w:r w:rsidRPr="00635F55">
        <w:rPr>
          <w:rFonts w:ascii="Palatino Linotype" w:hAnsi="Palatino Linotype"/>
          <w:sz w:val="24"/>
          <w:szCs w:val="24"/>
        </w:rPr>
        <w:t xml:space="preserve">Namun, pada manusia terdapat keunikan karena nafas hidup berasal dari hembusan langsung Allah, ada relasi personal dengan Sang Pencipta. Ia menolak kesimpulan bahwa ayat ini mengajarkan dualisme ala Plato. Sebaliknya “Roh </w:t>
      </w:r>
      <w:r w:rsidRPr="00635F55">
        <w:rPr>
          <w:rFonts w:ascii="Palatino Linotype" w:hAnsi="Palatino Linotype"/>
          <w:sz w:val="24"/>
          <w:szCs w:val="24"/>
        </w:rPr>
        <w:lastRenderedPageBreak/>
        <w:t>kembali kepada Allah” tidak berarti roh eksis mandiri secara absolut. Roh tetap ciptaan dan tetap bergantung kepada Allah.</w:t>
      </w:r>
    </w:p>
    <w:p w14:paraId="43A82749" w14:textId="77777777" w:rsidR="00EF68F1" w:rsidRDefault="00635F55" w:rsidP="00964896">
      <w:pPr>
        <w:spacing w:after="0" w:line="240" w:lineRule="auto"/>
        <w:jc w:val="both"/>
        <w:rPr>
          <w:rFonts w:ascii="Palatino Linotype" w:hAnsi="Palatino Linotype"/>
          <w:sz w:val="24"/>
          <w:szCs w:val="24"/>
        </w:rPr>
      </w:pPr>
      <w:r w:rsidRPr="00635F55">
        <w:rPr>
          <w:rFonts w:ascii="Palatino Linotype" w:hAnsi="Palatino Linotype"/>
          <w:sz w:val="24"/>
          <w:szCs w:val="24"/>
        </w:rPr>
        <w:t xml:space="preserve">Bavinck menyusun antropologi dengan ciri-ciri berikut: </w:t>
      </w:r>
    </w:p>
    <w:p w14:paraId="212B081C" w14:textId="77777777" w:rsidR="00EF68F1" w:rsidRDefault="00635F55" w:rsidP="00EF68F1">
      <w:pPr>
        <w:spacing w:after="0" w:line="240" w:lineRule="auto"/>
        <w:ind w:firstLine="1077"/>
        <w:jc w:val="both"/>
        <w:rPr>
          <w:rFonts w:ascii="Palatino Linotype" w:hAnsi="Palatino Linotype"/>
          <w:sz w:val="24"/>
          <w:szCs w:val="24"/>
        </w:rPr>
      </w:pPr>
      <w:r w:rsidRPr="00635F55">
        <w:rPr>
          <w:rFonts w:ascii="Palatino Linotype" w:hAnsi="Palatino Linotype"/>
          <w:sz w:val="24"/>
          <w:szCs w:val="24"/>
        </w:rPr>
        <w:t>Perta</w:t>
      </w:r>
      <w:r w:rsidR="00EF68F1">
        <w:rPr>
          <w:rFonts w:ascii="Palatino Linotype" w:hAnsi="Palatino Linotype"/>
          <w:sz w:val="24"/>
          <w:szCs w:val="24"/>
        </w:rPr>
        <w:t>ma</w:t>
      </w:r>
      <w:r w:rsidRPr="00635F55">
        <w:rPr>
          <w:rFonts w:ascii="Palatino Linotype" w:hAnsi="Palatino Linotype"/>
          <w:b/>
          <w:bCs/>
          <w:sz w:val="24"/>
          <w:szCs w:val="24"/>
        </w:rPr>
        <w:t xml:space="preserve"> Kesatuan Organik</w:t>
      </w:r>
      <w:r w:rsidR="00EF68F1">
        <w:rPr>
          <w:rFonts w:ascii="Palatino Linotype" w:hAnsi="Palatino Linotype"/>
          <w:b/>
          <w:bCs/>
          <w:sz w:val="24"/>
          <w:szCs w:val="24"/>
        </w:rPr>
        <w:t xml:space="preserve">. </w:t>
      </w:r>
      <w:r w:rsidRPr="00635F55">
        <w:rPr>
          <w:rFonts w:ascii="Palatino Linotype" w:hAnsi="Palatino Linotype"/>
          <w:sz w:val="24"/>
          <w:szCs w:val="24"/>
        </w:rPr>
        <w:t xml:space="preserve">Manusia adalah satu kesatuan organis, bukan dua entitas berdampingan. Tubuh dan jiwa saling mengkondisikan dalam eksistensi manusia. </w:t>
      </w:r>
    </w:p>
    <w:p w14:paraId="731E4DEC" w14:textId="742130FA" w:rsidR="00EF68F1" w:rsidRDefault="00635F55" w:rsidP="00EF68F1">
      <w:pPr>
        <w:spacing w:after="0" w:line="240" w:lineRule="auto"/>
        <w:ind w:firstLine="1077"/>
        <w:jc w:val="both"/>
        <w:rPr>
          <w:rFonts w:ascii="Palatino Linotype" w:hAnsi="Palatino Linotype"/>
          <w:sz w:val="24"/>
          <w:szCs w:val="24"/>
        </w:rPr>
      </w:pPr>
      <w:r w:rsidRPr="00635F55">
        <w:rPr>
          <w:rFonts w:ascii="Palatino Linotype" w:hAnsi="Palatino Linotype"/>
          <w:sz w:val="24"/>
          <w:szCs w:val="24"/>
        </w:rPr>
        <w:t>Kedua</w:t>
      </w:r>
      <w:r w:rsidR="00EF68F1">
        <w:rPr>
          <w:rFonts w:ascii="Palatino Linotype" w:hAnsi="Palatino Linotype"/>
          <w:sz w:val="24"/>
          <w:szCs w:val="24"/>
        </w:rPr>
        <w:t xml:space="preserve"> </w:t>
      </w:r>
      <w:r w:rsidRPr="00635F55">
        <w:rPr>
          <w:rFonts w:ascii="Palatino Linotype" w:hAnsi="Palatino Linotype"/>
          <w:b/>
          <w:bCs/>
          <w:sz w:val="24"/>
          <w:szCs w:val="24"/>
        </w:rPr>
        <w:t>Pembedaan Nyata (Real Distinction)</w:t>
      </w:r>
      <w:r w:rsidR="00EF68F1">
        <w:rPr>
          <w:rFonts w:ascii="Palatino Linotype" w:hAnsi="Palatino Linotype"/>
          <w:b/>
          <w:bCs/>
          <w:sz w:val="24"/>
          <w:szCs w:val="24"/>
        </w:rPr>
        <w:t>.</w:t>
      </w:r>
      <w:r w:rsidRPr="00635F55">
        <w:rPr>
          <w:rFonts w:ascii="Palatino Linotype" w:hAnsi="Palatino Linotype"/>
          <w:sz w:val="24"/>
          <w:szCs w:val="24"/>
        </w:rPr>
        <w:t xml:space="preserve"> Walaupun satu kesatuan, terdapat pembedaan nyata antara dimensi material dan dimensi immaterial</w:t>
      </w:r>
      <w:r w:rsidR="00407226">
        <w:rPr>
          <w:rFonts w:ascii="Palatino Linotype" w:hAnsi="Palatino Linotype"/>
          <w:sz w:val="24"/>
          <w:szCs w:val="24"/>
        </w:rPr>
        <w:t>.</w:t>
      </w:r>
      <w:r w:rsidRPr="00635F55">
        <w:rPr>
          <w:rFonts w:ascii="Palatino Linotype" w:hAnsi="Palatino Linotype"/>
          <w:sz w:val="24"/>
          <w:szCs w:val="24"/>
        </w:rPr>
        <w:t xml:space="preserve"> Namun pembedaan ini bukan pemisahan substansial total. </w:t>
      </w:r>
    </w:p>
    <w:p w14:paraId="6467225D" w14:textId="7566C722" w:rsidR="00EF68F1" w:rsidRDefault="00635F55" w:rsidP="00EF68F1">
      <w:pPr>
        <w:spacing w:after="0" w:line="240" w:lineRule="auto"/>
        <w:ind w:firstLine="1077"/>
        <w:jc w:val="both"/>
        <w:rPr>
          <w:rFonts w:ascii="Palatino Linotype" w:hAnsi="Palatino Linotype"/>
          <w:sz w:val="24"/>
          <w:szCs w:val="24"/>
        </w:rPr>
      </w:pPr>
      <w:r w:rsidRPr="00635F55">
        <w:rPr>
          <w:rFonts w:ascii="Palatino Linotype" w:hAnsi="Palatino Linotype"/>
          <w:sz w:val="24"/>
          <w:szCs w:val="24"/>
        </w:rPr>
        <w:t xml:space="preserve">Ketiga </w:t>
      </w:r>
      <w:r w:rsidRPr="00635F55">
        <w:rPr>
          <w:rFonts w:ascii="Palatino Linotype" w:hAnsi="Palatino Linotype"/>
          <w:b/>
          <w:bCs/>
          <w:sz w:val="24"/>
          <w:szCs w:val="24"/>
        </w:rPr>
        <w:t>Ketergantungan Ontologis</w:t>
      </w:r>
      <w:r w:rsidR="00EF68F1">
        <w:rPr>
          <w:rFonts w:ascii="Palatino Linotype" w:hAnsi="Palatino Linotype"/>
          <w:b/>
          <w:bCs/>
          <w:sz w:val="24"/>
          <w:szCs w:val="24"/>
        </w:rPr>
        <w:t>.</w:t>
      </w:r>
      <w:r w:rsidRPr="00635F55">
        <w:rPr>
          <w:rFonts w:ascii="Palatino Linotype" w:hAnsi="Palatino Linotype"/>
          <w:sz w:val="24"/>
          <w:szCs w:val="24"/>
        </w:rPr>
        <w:t xml:space="preserve"> </w:t>
      </w:r>
      <w:r w:rsidR="00407226">
        <w:rPr>
          <w:rFonts w:ascii="Palatino Linotype" w:hAnsi="Palatino Linotype"/>
          <w:sz w:val="24"/>
          <w:szCs w:val="24"/>
        </w:rPr>
        <w:t>K</w:t>
      </w:r>
      <w:r w:rsidRPr="00635F55">
        <w:rPr>
          <w:rFonts w:ascii="Palatino Linotype" w:hAnsi="Palatino Linotype"/>
          <w:sz w:val="24"/>
          <w:szCs w:val="24"/>
        </w:rPr>
        <w:t xml:space="preserve">ehidupan manusia berasal dari Allah, dipertahankan oleh Allah, kembali kepada Allah. </w:t>
      </w:r>
    </w:p>
    <w:p w14:paraId="320BBF79" w14:textId="386AF53C" w:rsidR="00635F55" w:rsidRPr="00635F55" w:rsidRDefault="00635F55" w:rsidP="00EF68F1">
      <w:pPr>
        <w:spacing w:after="0" w:line="240" w:lineRule="auto"/>
        <w:ind w:firstLine="1077"/>
        <w:jc w:val="both"/>
        <w:rPr>
          <w:rFonts w:ascii="Palatino Linotype" w:hAnsi="Palatino Linotype"/>
          <w:sz w:val="24"/>
          <w:szCs w:val="24"/>
        </w:rPr>
      </w:pPr>
      <w:r w:rsidRPr="00635F55">
        <w:rPr>
          <w:rFonts w:ascii="Palatino Linotype" w:hAnsi="Palatino Linotype"/>
          <w:sz w:val="24"/>
          <w:szCs w:val="24"/>
        </w:rPr>
        <w:t>Keempat</w:t>
      </w:r>
      <w:r w:rsidR="00EF68F1">
        <w:rPr>
          <w:rFonts w:ascii="Palatino Linotype" w:hAnsi="Palatino Linotype"/>
          <w:sz w:val="24"/>
          <w:szCs w:val="24"/>
        </w:rPr>
        <w:t xml:space="preserve"> </w:t>
      </w:r>
      <w:r w:rsidRPr="00635F55">
        <w:rPr>
          <w:rFonts w:ascii="Palatino Linotype" w:hAnsi="Palatino Linotype"/>
          <w:b/>
          <w:bCs/>
          <w:sz w:val="24"/>
          <w:szCs w:val="24"/>
        </w:rPr>
        <w:t>Penolakan Ekstrem</w:t>
      </w:r>
      <w:r w:rsidR="00EF68F1">
        <w:rPr>
          <w:rFonts w:ascii="Palatino Linotype" w:hAnsi="Palatino Linotype"/>
          <w:sz w:val="24"/>
          <w:szCs w:val="24"/>
        </w:rPr>
        <w:t xml:space="preserve">. </w:t>
      </w:r>
      <w:r w:rsidRPr="00635F55">
        <w:rPr>
          <w:rFonts w:ascii="Palatino Linotype" w:hAnsi="Palatino Linotype"/>
          <w:sz w:val="24"/>
          <w:szCs w:val="24"/>
        </w:rPr>
        <w:t>Bavinck menolak dualisme Platonik (jiwa sebagai tahanan tubuh), materialisme modern (manusia hanya organisme biologis), trikotomi substansial kaku (tubuh–jiwa–roh sebagai tiga zat berbeda)</w:t>
      </w:r>
      <w:r w:rsidR="00EF68F1">
        <w:rPr>
          <w:rFonts w:ascii="Palatino Linotype" w:hAnsi="Palatino Linotype"/>
          <w:sz w:val="24"/>
          <w:szCs w:val="24"/>
        </w:rPr>
        <w:t>.</w:t>
      </w:r>
    </w:p>
    <w:p w14:paraId="07BD52A9" w14:textId="77777777" w:rsidR="00635F55" w:rsidRPr="00635F55" w:rsidRDefault="00635F55" w:rsidP="00964896">
      <w:pPr>
        <w:spacing w:after="0" w:line="240" w:lineRule="auto"/>
        <w:jc w:val="both"/>
        <w:rPr>
          <w:rFonts w:ascii="Palatino Linotype" w:hAnsi="Palatino Linotype"/>
          <w:sz w:val="24"/>
          <w:szCs w:val="24"/>
          <w:lang w:val="en-US"/>
        </w:rPr>
      </w:pPr>
      <w:r w:rsidRPr="00635F55">
        <w:rPr>
          <w:rFonts w:ascii="Palatino Linotype" w:hAnsi="Palatino Linotype"/>
          <w:sz w:val="24"/>
          <w:szCs w:val="24"/>
        </w:rPr>
        <w:t xml:space="preserve">Bavinck secara umum condong pada dikotomi fungsional (tubuh dan jiwa/roh). Namun dengan kesadaran bahwa Alkitab sering menggunakan istilah jiwa dan roh secara fleksibel. Ia melihat “jiwa” dan “roh” sering bersinonim, perbedaan lebih bersifat aspek atau fungsi daripada substansi terpisah. </w:t>
      </w:r>
      <w:r w:rsidRPr="00635F55">
        <w:rPr>
          <w:rFonts w:ascii="Palatino Linotype" w:hAnsi="Palatino Linotype"/>
          <w:sz w:val="24"/>
          <w:szCs w:val="24"/>
          <w:lang w:val="en-US"/>
        </w:rPr>
        <w:t>Dengan demikian, antropologi Bavinck berdiri di antara dua ekstrem: menolak dualisme metafisik radikal dan sekaligus menolak reduksionisme materialistik, sambil mempertahankan kesatuan dan kompleksitas manusia sebagaimana dinyatakan dalam wahyu Alkitab</w:t>
      </w:r>
    </w:p>
    <w:p w14:paraId="0518DEBC" w14:textId="77777777" w:rsidR="00635F55" w:rsidRPr="00635F55" w:rsidRDefault="00635F55" w:rsidP="00964896">
      <w:pPr>
        <w:spacing w:after="0" w:line="240" w:lineRule="auto"/>
        <w:jc w:val="both"/>
        <w:rPr>
          <w:rFonts w:ascii="Palatino Linotype" w:hAnsi="Palatino Linotype"/>
          <w:sz w:val="24"/>
          <w:szCs w:val="24"/>
        </w:rPr>
      </w:pPr>
      <w:r w:rsidRPr="00635F55">
        <w:rPr>
          <w:rFonts w:ascii="Palatino Linotype" w:hAnsi="Palatino Linotype"/>
          <w:sz w:val="24"/>
          <w:szCs w:val="24"/>
        </w:rPr>
        <w:t>Penulis sependapat dengan Bavinck bahwa Kejadian 2:7 tidak dapat ditafsirkan sebagai penggabungan dua substansi independen. Teks tersebut menggambarkan satu tindakan kreatif Allah yang menghasilkan satu pribadi hidup. Dengan demikian: Jiwa bukan entitas otonom yang “dimasukkan”; Tubuh bukan sekadar wadah mekanis; “Makhluk hidup” menunjuk pada totalitas pribadi.</w:t>
      </w:r>
    </w:p>
    <w:p w14:paraId="262594C3" w14:textId="77777777" w:rsidR="00635F55" w:rsidRPr="00635F55" w:rsidRDefault="00635F55" w:rsidP="00964896">
      <w:pPr>
        <w:spacing w:after="0" w:line="240" w:lineRule="auto"/>
        <w:jc w:val="both"/>
        <w:rPr>
          <w:rFonts w:ascii="Palatino Linotype" w:hAnsi="Palatino Linotype"/>
          <w:sz w:val="24"/>
          <w:szCs w:val="24"/>
        </w:rPr>
      </w:pPr>
      <w:r w:rsidRPr="00635F55">
        <w:rPr>
          <w:rFonts w:ascii="Palatino Linotype" w:hAnsi="Palatino Linotype"/>
          <w:sz w:val="24"/>
          <w:szCs w:val="24"/>
        </w:rPr>
        <w:t>Pendekatan ini penting untuk menghindari infiltrasi dualisme Platonik ke dalam pembacaan teks Ibrani. Dalam konteks jurnal ini, posisi tersebut mendukung argumen bahwa antropologi Alkitab bersifat relasional dan organik, bukan metafisika dualistik yang kaku. Namun demikian, penulis menilai bahwa afirmasi kesatuan ini tidak boleh mengaburkan dimensi ontologis dari real distinction yang juga ditegaskan Alkitab.</w:t>
      </w:r>
    </w:p>
    <w:p w14:paraId="0AC8B4BD" w14:textId="77777777" w:rsidR="00635F55" w:rsidRPr="00635F55" w:rsidRDefault="00635F55" w:rsidP="00964896">
      <w:pPr>
        <w:spacing w:after="0" w:line="240" w:lineRule="auto"/>
        <w:jc w:val="both"/>
        <w:rPr>
          <w:rFonts w:ascii="Palatino Linotype" w:hAnsi="Palatino Linotype"/>
          <w:sz w:val="24"/>
          <w:szCs w:val="24"/>
        </w:rPr>
      </w:pPr>
      <w:r w:rsidRPr="00635F55">
        <w:rPr>
          <w:rFonts w:ascii="Palatino Linotype" w:hAnsi="Palatino Linotype"/>
          <w:sz w:val="24"/>
          <w:szCs w:val="24"/>
        </w:rPr>
        <w:t>Penulis sepenuhnya mengafirmasi penekanan Bavinck tentang ketergantungan ontologis manusia kepada Allah. Ini merupakan kontribusi teologis yang sangat penting dalam konteks modernitas yang menekankan otonomi manusia.</w:t>
      </w:r>
    </w:p>
    <w:p w14:paraId="50CA7D77" w14:textId="77777777" w:rsidR="00635F55" w:rsidRPr="00635F55" w:rsidRDefault="00635F55" w:rsidP="00964896">
      <w:pPr>
        <w:spacing w:after="0" w:line="240" w:lineRule="auto"/>
        <w:jc w:val="both"/>
        <w:rPr>
          <w:rFonts w:ascii="Palatino Linotype" w:hAnsi="Palatino Linotype"/>
          <w:sz w:val="24"/>
          <w:szCs w:val="24"/>
        </w:rPr>
      </w:pPr>
      <w:r w:rsidRPr="00635F55">
        <w:rPr>
          <w:rFonts w:ascii="Palatino Linotype" w:hAnsi="Palatino Linotype"/>
          <w:sz w:val="24"/>
          <w:szCs w:val="24"/>
        </w:rPr>
        <w:t>Dalam perspektif jurnal ini:</w:t>
      </w:r>
    </w:p>
    <w:p w14:paraId="033C3106" w14:textId="77777777" w:rsidR="00635F55" w:rsidRPr="00635F55" w:rsidRDefault="00635F55" w:rsidP="00964896">
      <w:pPr>
        <w:numPr>
          <w:ilvl w:val="0"/>
          <w:numId w:val="3"/>
        </w:numPr>
        <w:spacing w:after="0" w:line="240" w:lineRule="auto"/>
        <w:jc w:val="both"/>
        <w:rPr>
          <w:rFonts w:ascii="Palatino Linotype" w:hAnsi="Palatino Linotype"/>
          <w:sz w:val="24"/>
          <w:szCs w:val="24"/>
        </w:rPr>
      </w:pPr>
      <w:r w:rsidRPr="00635F55">
        <w:rPr>
          <w:rFonts w:ascii="Palatino Linotype" w:hAnsi="Palatino Linotype"/>
          <w:sz w:val="24"/>
          <w:szCs w:val="24"/>
        </w:rPr>
        <w:t>Kehidupan berasal dari Allah</w:t>
      </w:r>
    </w:p>
    <w:p w14:paraId="37317125" w14:textId="77777777" w:rsidR="00635F55" w:rsidRPr="00635F55" w:rsidRDefault="00635F55" w:rsidP="00964896">
      <w:pPr>
        <w:numPr>
          <w:ilvl w:val="0"/>
          <w:numId w:val="3"/>
        </w:numPr>
        <w:spacing w:after="0" w:line="240" w:lineRule="auto"/>
        <w:jc w:val="both"/>
        <w:rPr>
          <w:rFonts w:ascii="Palatino Linotype" w:hAnsi="Palatino Linotype"/>
          <w:sz w:val="24"/>
          <w:szCs w:val="24"/>
        </w:rPr>
      </w:pPr>
      <w:r w:rsidRPr="00635F55">
        <w:rPr>
          <w:rFonts w:ascii="Palatino Linotype" w:hAnsi="Palatino Linotype"/>
          <w:sz w:val="24"/>
          <w:szCs w:val="24"/>
        </w:rPr>
        <w:t>Dipertahankan oleh Allah</w:t>
      </w:r>
    </w:p>
    <w:p w14:paraId="7ECE7A99" w14:textId="77777777" w:rsidR="00635F55" w:rsidRPr="00635F55" w:rsidRDefault="00635F55" w:rsidP="00964896">
      <w:pPr>
        <w:numPr>
          <w:ilvl w:val="0"/>
          <w:numId w:val="3"/>
        </w:numPr>
        <w:spacing w:after="0" w:line="240" w:lineRule="auto"/>
        <w:jc w:val="both"/>
        <w:rPr>
          <w:rFonts w:ascii="Palatino Linotype" w:hAnsi="Palatino Linotype"/>
          <w:sz w:val="24"/>
          <w:szCs w:val="24"/>
        </w:rPr>
      </w:pPr>
      <w:r w:rsidRPr="00635F55">
        <w:rPr>
          <w:rFonts w:ascii="Palatino Linotype" w:hAnsi="Palatino Linotype"/>
          <w:sz w:val="24"/>
          <w:szCs w:val="24"/>
        </w:rPr>
        <w:t>Kembali kepada Allah</w:t>
      </w:r>
    </w:p>
    <w:p w14:paraId="52422E7A" w14:textId="77777777" w:rsidR="00635F55" w:rsidRPr="00635F55" w:rsidRDefault="00635F55" w:rsidP="00964896">
      <w:pPr>
        <w:spacing w:after="0" w:line="240" w:lineRule="auto"/>
        <w:jc w:val="both"/>
        <w:rPr>
          <w:rFonts w:ascii="Palatino Linotype" w:hAnsi="Palatino Linotype"/>
          <w:sz w:val="24"/>
          <w:szCs w:val="24"/>
        </w:rPr>
      </w:pPr>
      <w:r w:rsidRPr="00635F55">
        <w:rPr>
          <w:rFonts w:ascii="Palatino Linotype" w:hAnsi="Palatino Linotype"/>
          <w:sz w:val="24"/>
          <w:szCs w:val="24"/>
        </w:rPr>
        <w:lastRenderedPageBreak/>
        <w:t>Dengan demikian, baik tubuh maupun roh tidak memiliki otonomi eksistensial. Bahkan “roh kembali kepada Allah” (Pkh. 12:7) tidak berarti roh memiliki keberadaan absolut yang independen. Penulis menilai bahwa aspek ini memperkuat argumentasi teologis terhadap materialisme maupun spiritualisme ekstrem. Penulis cenderung memahami struktur manusia sebagai kesatuan organis dengan diferensiasi internal yang nyata, tanpa harus memutlakkan skema metafisik tertentu. Dengan demikian, jurnal ini sejalan dengan Bavinck dalam menolak ekstrem, tetapi tetap membuka ruang bagi eksplorasi lebih lanjut tentang kedalaman dimensi immaterial manusia.</w:t>
      </w:r>
    </w:p>
    <w:p w14:paraId="3CC6ABB1" w14:textId="77777777" w:rsidR="007704FA" w:rsidRDefault="007704FA" w:rsidP="00964896">
      <w:pPr>
        <w:spacing w:after="0" w:line="240" w:lineRule="auto"/>
        <w:jc w:val="both"/>
        <w:rPr>
          <w:rFonts w:ascii="Palatino Linotype" w:hAnsi="Palatino Linotype"/>
          <w:lang w:val="en-US"/>
        </w:rPr>
      </w:pPr>
    </w:p>
    <w:p w14:paraId="6D91AB22" w14:textId="268EB0DD" w:rsidR="00635F55" w:rsidRDefault="00635F55" w:rsidP="00964896">
      <w:pPr>
        <w:spacing w:after="0" w:line="240" w:lineRule="auto"/>
        <w:jc w:val="both"/>
        <w:rPr>
          <w:rFonts w:ascii="Palatino Linotype" w:hAnsi="Palatino Linotype"/>
          <w:b/>
          <w:bCs/>
          <w:sz w:val="26"/>
          <w:szCs w:val="26"/>
          <w:lang w:val="en-US"/>
        </w:rPr>
      </w:pPr>
      <w:r w:rsidRPr="00635F55">
        <w:rPr>
          <w:rFonts w:ascii="Palatino Linotype" w:hAnsi="Palatino Linotype"/>
          <w:b/>
          <w:bCs/>
          <w:sz w:val="26"/>
          <w:szCs w:val="26"/>
          <w:lang w:val="en-US"/>
        </w:rPr>
        <w:t xml:space="preserve">Kajian Eksegetis Perjanjian </w:t>
      </w:r>
      <w:r>
        <w:rPr>
          <w:rFonts w:ascii="Palatino Linotype" w:hAnsi="Palatino Linotype"/>
          <w:b/>
          <w:bCs/>
          <w:sz w:val="26"/>
          <w:szCs w:val="26"/>
          <w:lang w:val="en-US"/>
        </w:rPr>
        <w:t>Baru</w:t>
      </w:r>
    </w:p>
    <w:p w14:paraId="7133438E" w14:textId="77777777" w:rsidR="00635F55" w:rsidRPr="00635F55" w:rsidRDefault="00635F55" w:rsidP="00EF68F1">
      <w:pPr>
        <w:spacing w:after="0" w:line="240" w:lineRule="auto"/>
        <w:ind w:firstLine="1077"/>
        <w:jc w:val="both"/>
        <w:rPr>
          <w:rFonts w:ascii="Palatino Linotype" w:hAnsi="Palatino Linotype"/>
          <w:sz w:val="24"/>
          <w:szCs w:val="24"/>
          <w:lang w:val="en-US"/>
        </w:rPr>
      </w:pPr>
      <w:r w:rsidRPr="00635F55">
        <w:rPr>
          <w:rFonts w:ascii="Palatino Linotype" w:hAnsi="Palatino Linotype"/>
          <w:sz w:val="24"/>
          <w:szCs w:val="24"/>
          <w:lang w:val="en-US"/>
        </w:rPr>
        <w:t>Dalam Perjanjian Baru, istilah psyche dan pneuma sering digunakan secara paralel. Lukas 1:46–47 memperlihatkan paralelisme Ibrani: ‘Jiwaku memuliakan Tuhan’ dan ‘Rohku bersukacita dalam Allah.’ Ini menunjukkan sinonimitas fungsional.</w:t>
      </w:r>
    </w:p>
    <w:p w14:paraId="56B3980B" w14:textId="43114D4B" w:rsidR="00635F55" w:rsidRPr="00635F55" w:rsidRDefault="00635F55" w:rsidP="00964896">
      <w:pPr>
        <w:spacing w:after="0" w:line="240" w:lineRule="auto"/>
        <w:jc w:val="both"/>
        <w:rPr>
          <w:rFonts w:ascii="Palatino Linotype" w:hAnsi="Palatino Linotype"/>
          <w:sz w:val="24"/>
          <w:szCs w:val="24"/>
          <w:lang w:val="en-US"/>
        </w:rPr>
      </w:pPr>
      <w:r w:rsidRPr="00635F55">
        <w:rPr>
          <w:rFonts w:ascii="Palatino Linotype" w:hAnsi="Palatino Linotype"/>
          <w:sz w:val="24"/>
          <w:szCs w:val="24"/>
          <w:lang w:val="en-US"/>
        </w:rPr>
        <w:t>Ibrani 4:12 sering dipakai sebagai dasar trikotomi. Namun konteksnya bersifat retoris, menunjukkan daya tembus Firman Allah, bukan analisis ontologis manusia.</w:t>
      </w:r>
      <w:r w:rsidR="003A59E6">
        <w:rPr>
          <w:rStyle w:val="FootnoteReference"/>
          <w:rFonts w:ascii="Palatino Linotype" w:hAnsi="Palatino Linotype"/>
          <w:sz w:val="24"/>
          <w:szCs w:val="24"/>
          <w:lang w:val="en-US"/>
        </w:rPr>
        <w:footnoteReference w:id="3"/>
      </w:r>
    </w:p>
    <w:p w14:paraId="42DCC8C5" w14:textId="77777777" w:rsidR="00635F55" w:rsidRPr="00635F55" w:rsidRDefault="00635F55" w:rsidP="00964896">
      <w:pPr>
        <w:spacing w:after="0" w:line="240" w:lineRule="auto"/>
        <w:jc w:val="both"/>
        <w:rPr>
          <w:rFonts w:ascii="Palatino Linotype" w:hAnsi="Palatino Linotype"/>
          <w:sz w:val="24"/>
          <w:szCs w:val="24"/>
        </w:rPr>
      </w:pPr>
      <w:r w:rsidRPr="00635F55">
        <w:rPr>
          <w:rFonts w:ascii="Palatino Linotype" w:hAnsi="Palatino Linotype"/>
          <w:sz w:val="24"/>
          <w:szCs w:val="24"/>
        </w:rPr>
        <w:t>Grudem juga menunjukkan bahwa dalam berbagai bagian Perjanjian Baru:</w:t>
      </w:r>
    </w:p>
    <w:p w14:paraId="2B0F0130" w14:textId="77777777" w:rsidR="00635F55" w:rsidRPr="00635F55" w:rsidRDefault="00635F55" w:rsidP="00964896">
      <w:pPr>
        <w:numPr>
          <w:ilvl w:val="0"/>
          <w:numId w:val="4"/>
        </w:numPr>
        <w:spacing w:after="0" w:line="240" w:lineRule="auto"/>
        <w:jc w:val="both"/>
        <w:rPr>
          <w:rFonts w:ascii="Palatino Linotype" w:hAnsi="Palatino Linotype"/>
          <w:sz w:val="24"/>
          <w:szCs w:val="24"/>
        </w:rPr>
      </w:pPr>
      <w:r w:rsidRPr="00635F55">
        <w:rPr>
          <w:rFonts w:ascii="Palatino Linotype" w:hAnsi="Palatino Linotype"/>
          <w:sz w:val="24"/>
          <w:szCs w:val="24"/>
        </w:rPr>
        <w:t>Jiwa dapat meninggalkan tubuh saat kematian.</w:t>
      </w:r>
    </w:p>
    <w:p w14:paraId="79AD5D2F" w14:textId="77777777" w:rsidR="00635F55" w:rsidRPr="00635F55" w:rsidRDefault="00635F55" w:rsidP="00964896">
      <w:pPr>
        <w:numPr>
          <w:ilvl w:val="0"/>
          <w:numId w:val="4"/>
        </w:numPr>
        <w:spacing w:after="0" w:line="240" w:lineRule="auto"/>
        <w:jc w:val="both"/>
        <w:rPr>
          <w:rFonts w:ascii="Palatino Linotype" w:hAnsi="Palatino Linotype"/>
          <w:sz w:val="24"/>
          <w:szCs w:val="24"/>
        </w:rPr>
      </w:pPr>
      <w:r w:rsidRPr="00635F55">
        <w:rPr>
          <w:rFonts w:ascii="Palatino Linotype" w:hAnsi="Palatino Linotype"/>
          <w:sz w:val="24"/>
          <w:szCs w:val="24"/>
        </w:rPr>
        <w:t>Roh juga dapat meninggalkan tubuh.</w:t>
      </w:r>
    </w:p>
    <w:p w14:paraId="0ADCD09C" w14:textId="77777777" w:rsidR="00635F55" w:rsidRPr="00635F55" w:rsidRDefault="00635F55" w:rsidP="00964896">
      <w:pPr>
        <w:numPr>
          <w:ilvl w:val="0"/>
          <w:numId w:val="4"/>
        </w:numPr>
        <w:spacing w:after="0" w:line="240" w:lineRule="auto"/>
        <w:jc w:val="both"/>
        <w:rPr>
          <w:rFonts w:ascii="Palatino Linotype" w:hAnsi="Palatino Linotype"/>
          <w:sz w:val="24"/>
          <w:szCs w:val="24"/>
        </w:rPr>
      </w:pPr>
      <w:r w:rsidRPr="00635F55">
        <w:rPr>
          <w:rFonts w:ascii="Palatino Linotype" w:hAnsi="Palatino Linotype"/>
          <w:sz w:val="24"/>
          <w:szCs w:val="24"/>
        </w:rPr>
        <w:t>Jiwa dapat diselamatkan.</w:t>
      </w:r>
    </w:p>
    <w:p w14:paraId="543B9FF3" w14:textId="77777777" w:rsidR="00635F55" w:rsidRPr="00635F55" w:rsidRDefault="00635F55" w:rsidP="00964896">
      <w:pPr>
        <w:numPr>
          <w:ilvl w:val="0"/>
          <w:numId w:val="4"/>
        </w:numPr>
        <w:spacing w:after="0" w:line="240" w:lineRule="auto"/>
        <w:jc w:val="both"/>
        <w:rPr>
          <w:rFonts w:ascii="Palatino Linotype" w:hAnsi="Palatino Linotype"/>
          <w:sz w:val="24"/>
          <w:szCs w:val="24"/>
        </w:rPr>
      </w:pPr>
      <w:r w:rsidRPr="00635F55">
        <w:rPr>
          <w:rFonts w:ascii="Palatino Linotype" w:hAnsi="Palatino Linotype"/>
          <w:sz w:val="24"/>
          <w:szCs w:val="24"/>
        </w:rPr>
        <w:t>Roh juga dikuduskan atau diselamatkan.</w:t>
      </w:r>
    </w:p>
    <w:p w14:paraId="18A17F0F" w14:textId="6A6C8078" w:rsidR="00635F55" w:rsidRPr="00EF68F1" w:rsidRDefault="00635F55" w:rsidP="00964896">
      <w:pPr>
        <w:spacing w:after="0" w:line="240" w:lineRule="auto"/>
        <w:jc w:val="both"/>
        <w:rPr>
          <w:rFonts w:ascii="Palatino Linotype" w:hAnsi="Palatino Linotype"/>
          <w:sz w:val="24"/>
          <w:szCs w:val="24"/>
        </w:rPr>
      </w:pPr>
      <w:r w:rsidRPr="00635F55">
        <w:rPr>
          <w:rFonts w:ascii="Palatino Linotype" w:hAnsi="Palatino Linotype"/>
          <w:sz w:val="24"/>
          <w:szCs w:val="24"/>
        </w:rPr>
        <w:t>Tidak ditemukan pola konsisten yang membedakan keduanya sebagai dua entitas terpisah dengan fungsi yang tidak saling tumpang tindih. Secara linguistik, penggunaan kedua istilah tersebut bersifat fleksibel. Ibrani 4:12 sering dijadikan dasar utama trikotomi karena menyebut: “... memisahkan jiwa dan roh, sendi-sendi dan sumsum...”</w:t>
      </w:r>
      <w:r w:rsidR="00EF68F1">
        <w:rPr>
          <w:rFonts w:ascii="Palatino Linotype" w:hAnsi="Palatino Linotype"/>
          <w:sz w:val="24"/>
          <w:szCs w:val="24"/>
        </w:rPr>
        <w:t xml:space="preserve"> </w:t>
      </w:r>
      <w:r w:rsidRPr="00635F55">
        <w:rPr>
          <w:rFonts w:ascii="Palatino Linotype" w:hAnsi="Palatino Linotype"/>
          <w:sz w:val="24"/>
          <w:szCs w:val="24"/>
        </w:rPr>
        <w:t>Grudem menekankan bahwa konteks ayat ini adalah deskripsi retoris mengenai daya tembus Firman Allah. Struktur kalimat menunjukkan gaya hiperbolik yang menegaskan penetrasi ilahi sampai bagian terdalam manusia. Penyebutan “sendi-sendi dan sumsum” tidak dimaksudkan sebagai analisis anatomi literal, demikian pula “jiwa dan roh” tidak dimaksudkan sebagai pemisahan metafisik dua substansi. Tujuan teks adalah menunjukkan bahwa Firman Allah mampu menilai pikiran dan motivasi terdalam manusia. Dengan demikian, menurut Grudem, dalam Lukas 1:46–47</w:t>
      </w:r>
      <w:r w:rsidR="00516AA4">
        <w:rPr>
          <w:rFonts w:ascii="Palatino Linotype" w:hAnsi="Palatino Linotype"/>
          <w:b/>
          <w:bCs/>
          <w:sz w:val="24"/>
          <w:szCs w:val="24"/>
        </w:rPr>
        <w:t xml:space="preserve"> </w:t>
      </w:r>
      <w:r w:rsidRPr="00635F55">
        <w:rPr>
          <w:rFonts w:ascii="Palatino Linotype" w:hAnsi="Palatino Linotype"/>
          <w:sz w:val="24"/>
          <w:szCs w:val="24"/>
        </w:rPr>
        <w:t>Teks ini menyatakan:</w:t>
      </w:r>
      <w:r w:rsidR="00516AA4">
        <w:rPr>
          <w:rFonts w:ascii="Palatino Linotype" w:hAnsi="Palatino Linotype"/>
          <w:b/>
          <w:bCs/>
          <w:sz w:val="24"/>
          <w:szCs w:val="24"/>
        </w:rPr>
        <w:t xml:space="preserve"> </w:t>
      </w:r>
      <w:r w:rsidRPr="00635F55">
        <w:rPr>
          <w:rFonts w:ascii="Palatino Linotype" w:hAnsi="Palatino Linotype"/>
          <w:sz w:val="24"/>
          <w:szCs w:val="24"/>
        </w:rPr>
        <w:t>“Jiwaku memuliakan Tuhan”</w:t>
      </w:r>
      <w:r w:rsidRPr="00635F55">
        <w:rPr>
          <w:rFonts w:ascii="Palatino Linotype" w:hAnsi="Palatino Linotype"/>
          <w:sz w:val="24"/>
          <w:szCs w:val="24"/>
        </w:rPr>
        <w:br/>
        <w:t>“Rohku bersukacita karena Allah, Juruselamatku.”</w:t>
      </w:r>
    </w:p>
    <w:p w14:paraId="06943181" w14:textId="77777777" w:rsidR="00635F55" w:rsidRPr="00635F55" w:rsidRDefault="00635F55" w:rsidP="00964896">
      <w:pPr>
        <w:spacing w:after="0" w:line="240" w:lineRule="auto"/>
        <w:jc w:val="both"/>
        <w:rPr>
          <w:rFonts w:ascii="Palatino Linotype" w:hAnsi="Palatino Linotype"/>
          <w:sz w:val="24"/>
          <w:szCs w:val="24"/>
        </w:rPr>
      </w:pPr>
      <w:r w:rsidRPr="00635F55">
        <w:rPr>
          <w:rFonts w:ascii="Palatino Linotype" w:hAnsi="Palatino Linotype"/>
          <w:sz w:val="24"/>
          <w:szCs w:val="24"/>
        </w:rPr>
        <w:t>Grudem menafsirkan ayat ini sebagai contoh paralelisme Ibrani, suatu gaya puisi yang mengulang gagasan yang sama dengan variasi istilah. Dalam struktur tersebut:</w:t>
      </w:r>
    </w:p>
    <w:p w14:paraId="7E3BC72D" w14:textId="77777777" w:rsidR="00635F55" w:rsidRPr="00635F55" w:rsidRDefault="00635F55" w:rsidP="00964896">
      <w:pPr>
        <w:numPr>
          <w:ilvl w:val="0"/>
          <w:numId w:val="6"/>
        </w:numPr>
        <w:spacing w:after="0" w:line="240" w:lineRule="auto"/>
        <w:jc w:val="both"/>
        <w:rPr>
          <w:rFonts w:ascii="Palatino Linotype" w:hAnsi="Palatino Linotype"/>
          <w:sz w:val="24"/>
          <w:szCs w:val="24"/>
        </w:rPr>
      </w:pPr>
      <w:r w:rsidRPr="00635F55">
        <w:rPr>
          <w:rFonts w:ascii="Palatino Linotype" w:hAnsi="Palatino Linotype"/>
          <w:sz w:val="24"/>
          <w:szCs w:val="24"/>
        </w:rPr>
        <w:t>“Jiwaku” paralel dengan “Rohku”</w:t>
      </w:r>
    </w:p>
    <w:p w14:paraId="5654F4B8" w14:textId="77777777" w:rsidR="00635F55" w:rsidRPr="00635F55" w:rsidRDefault="00635F55" w:rsidP="00964896">
      <w:pPr>
        <w:numPr>
          <w:ilvl w:val="0"/>
          <w:numId w:val="6"/>
        </w:numPr>
        <w:spacing w:after="0" w:line="240" w:lineRule="auto"/>
        <w:jc w:val="both"/>
        <w:rPr>
          <w:rFonts w:ascii="Palatino Linotype" w:hAnsi="Palatino Linotype"/>
          <w:sz w:val="24"/>
          <w:szCs w:val="24"/>
        </w:rPr>
      </w:pPr>
      <w:r w:rsidRPr="00635F55">
        <w:rPr>
          <w:rFonts w:ascii="Palatino Linotype" w:hAnsi="Palatino Linotype"/>
          <w:sz w:val="24"/>
          <w:szCs w:val="24"/>
        </w:rPr>
        <w:lastRenderedPageBreak/>
        <w:t>“Memuliakan” paralel dengan “Bersukacita”</w:t>
      </w:r>
    </w:p>
    <w:p w14:paraId="143D1BED" w14:textId="77777777" w:rsidR="00635F55" w:rsidRPr="00635F55" w:rsidRDefault="00635F55" w:rsidP="00964896">
      <w:pPr>
        <w:spacing w:after="0" w:line="240" w:lineRule="auto"/>
        <w:jc w:val="both"/>
        <w:rPr>
          <w:rFonts w:ascii="Palatino Linotype" w:hAnsi="Palatino Linotype"/>
          <w:sz w:val="24"/>
          <w:szCs w:val="24"/>
        </w:rPr>
      </w:pPr>
      <w:r w:rsidRPr="00635F55">
        <w:rPr>
          <w:rFonts w:ascii="Palatino Linotype" w:hAnsi="Palatino Linotype"/>
          <w:sz w:val="24"/>
          <w:szCs w:val="24"/>
        </w:rPr>
        <w:t>Dengan demikian, ayat ini tidak mengajarkan adanya dua komponen ontologis berbeda, melainkan menunjukkan sinonimitas fungsional. Jiwa dan roh di sini menunjuk pada pusat batin manusia yang sama. Sementara itu Grudem juga mengangkat Ibrani 4:12, ia menyatakan bahwa Ibrani. 4:12 bersifat retoris dan bukan ontologis. Secara sistematis, Grudem menyimpulkan beberapa hal:</w:t>
      </w:r>
    </w:p>
    <w:p w14:paraId="076507DA" w14:textId="77777777" w:rsidR="00635F55" w:rsidRPr="00635F55" w:rsidRDefault="00635F55" w:rsidP="00964896">
      <w:pPr>
        <w:numPr>
          <w:ilvl w:val="0"/>
          <w:numId w:val="5"/>
        </w:numPr>
        <w:spacing w:after="0" w:line="240" w:lineRule="auto"/>
        <w:jc w:val="both"/>
        <w:rPr>
          <w:rFonts w:ascii="Palatino Linotype" w:hAnsi="Palatino Linotype"/>
          <w:sz w:val="24"/>
          <w:szCs w:val="24"/>
        </w:rPr>
      </w:pPr>
      <w:r w:rsidRPr="00635F55">
        <w:rPr>
          <w:rFonts w:ascii="Palatino Linotype" w:hAnsi="Palatino Linotype"/>
          <w:sz w:val="24"/>
          <w:szCs w:val="24"/>
        </w:rPr>
        <w:t>Tidak ada teks Alkitab yang secara eksplisit dan konsisten mengajarkan tiga substansi ontologis dalam diri manusia.</w:t>
      </w:r>
    </w:p>
    <w:p w14:paraId="49EAE4E0" w14:textId="77777777" w:rsidR="00635F55" w:rsidRPr="00635F55" w:rsidRDefault="00635F55" w:rsidP="00964896">
      <w:pPr>
        <w:numPr>
          <w:ilvl w:val="0"/>
          <w:numId w:val="5"/>
        </w:numPr>
        <w:spacing w:after="0" w:line="240" w:lineRule="auto"/>
        <w:jc w:val="both"/>
        <w:rPr>
          <w:rFonts w:ascii="Palatino Linotype" w:hAnsi="Palatino Linotype"/>
          <w:sz w:val="24"/>
          <w:szCs w:val="24"/>
        </w:rPr>
      </w:pPr>
      <w:r w:rsidRPr="00635F55">
        <w:rPr>
          <w:rFonts w:ascii="Palatino Linotype" w:hAnsi="Palatino Linotype"/>
          <w:sz w:val="24"/>
          <w:szCs w:val="24"/>
        </w:rPr>
        <w:t>Jiwa dan roh memiliki fungsi yang tumpang tindih dalam berbagai konteks.</w:t>
      </w:r>
    </w:p>
    <w:p w14:paraId="535B456F" w14:textId="77777777" w:rsidR="00635F55" w:rsidRPr="00635F55" w:rsidRDefault="00635F55" w:rsidP="00964896">
      <w:pPr>
        <w:numPr>
          <w:ilvl w:val="0"/>
          <w:numId w:val="5"/>
        </w:numPr>
        <w:spacing w:after="0" w:line="240" w:lineRule="auto"/>
        <w:jc w:val="both"/>
        <w:rPr>
          <w:rFonts w:ascii="Palatino Linotype" w:hAnsi="Palatino Linotype"/>
          <w:sz w:val="24"/>
          <w:szCs w:val="24"/>
        </w:rPr>
      </w:pPr>
      <w:r w:rsidRPr="00635F55">
        <w:rPr>
          <w:rFonts w:ascii="Palatino Linotype" w:hAnsi="Palatino Linotype"/>
          <w:sz w:val="24"/>
          <w:szCs w:val="24"/>
        </w:rPr>
        <w:t>Perbedaan istilah lebih menunjukkan sudut pandang atau penekanan, bukan struktur metafisik yang berbeda.</w:t>
      </w:r>
    </w:p>
    <w:p w14:paraId="6F8387EA" w14:textId="77777777" w:rsidR="00635F55" w:rsidRPr="00635F55" w:rsidRDefault="00635F55" w:rsidP="00964896">
      <w:pPr>
        <w:spacing w:after="0" w:line="240" w:lineRule="auto"/>
        <w:jc w:val="both"/>
        <w:rPr>
          <w:rFonts w:ascii="Palatino Linotype" w:hAnsi="Palatino Linotype"/>
          <w:sz w:val="24"/>
          <w:szCs w:val="24"/>
        </w:rPr>
      </w:pPr>
      <w:r w:rsidRPr="00635F55">
        <w:rPr>
          <w:rFonts w:ascii="Palatino Linotype" w:hAnsi="Palatino Linotype"/>
          <w:sz w:val="24"/>
          <w:szCs w:val="24"/>
        </w:rPr>
        <w:t xml:space="preserve">Ia juga memperingatkan bahwa trikotomi berpotensi menghasilkan pemisahan yang terlalu tajam antara “roh” dan “jiwa”, yang dalam sejarah teologi kadang membuka ruang bagi dualisme atau mistisisme ekstrem. Karena itu, kesimpulan yang diambil adalah bahwa Alkitab lebih mendukung pandangan </w:t>
      </w:r>
      <w:r w:rsidRPr="00635F55">
        <w:rPr>
          <w:rFonts w:ascii="Palatino Linotype" w:hAnsi="Palatino Linotype"/>
          <w:b/>
          <w:bCs/>
          <w:sz w:val="24"/>
          <w:szCs w:val="24"/>
        </w:rPr>
        <w:t>dikotomi</w:t>
      </w:r>
      <w:r w:rsidRPr="00635F55">
        <w:rPr>
          <w:rFonts w:ascii="Palatino Linotype" w:hAnsi="Palatino Linotype"/>
          <w:sz w:val="24"/>
          <w:szCs w:val="24"/>
        </w:rPr>
        <w:t>, yakni manusia terdiri dari tubuh dan aspek immaterial (jiwa/roh) yang dipahami sebagai satu kesatuan realitas non-fisik.</w:t>
      </w:r>
    </w:p>
    <w:p w14:paraId="5FD44616" w14:textId="77777777" w:rsidR="00635F55" w:rsidRPr="00D55D06" w:rsidRDefault="00635F55" w:rsidP="00964896">
      <w:pPr>
        <w:spacing w:after="0" w:line="240" w:lineRule="auto"/>
        <w:jc w:val="both"/>
        <w:rPr>
          <w:rFonts w:ascii="Palatino Linotype" w:hAnsi="Palatino Linotype"/>
          <w:lang w:val="en-US"/>
        </w:rPr>
      </w:pPr>
    </w:p>
    <w:p w14:paraId="62CF56ED" w14:textId="671819D9" w:rsidR="00964896" w:rsidRDefault="00964896" w:rsidP="007704FA">
      <w:pPr>
        <w:spacing w:after="0" w:line="240" w:lineRule="auto"/>
        <w:rPr>
          <w:rFonts w:ascii="Palatino Linotype" w:hAnsi="Palatino Linotype"/>
          <w:b/>
          <w:i/>
          <w:sz w:val="24"/>
          <w:szCs w:val="24"/>
          <w:lang w:val="en-US"/>
        </w:rPr>
      </w:pPr>
      <w:r w:rsidRPr="00964896">
        <w:rPr>
          <w:rFonts w:ascii="Palatino Linotype" w:hAnsi="Palatino Linotype"/>
          <w:b/>
          <w:bCs/>
          <w:i/>
          <w:sz w:val="24"/>
          <w:szCs w:val="24"/>
          <w:lang w:val="en-US"/>
        </w:rPr>
        <w:t>Perspektif Historis Gereja</w:t>
      </w:r>
    </w:p>
    <w:p w14:paraId="1E3B1040" w14:textId="77777777" w:rsidR="00964896" w:rsidRPr="00964896" w:rsidRDefault="00964896" w:rsidP="00964896">
      <w:pPr>
        <w:spacing w:after="0" w:line="240" w:lineRule="auto"/>
        <w:ind w:firstLine="1080"/>
        <w:jc w:val="both"/>
        <w:rPr>
          <w:rFonts w:ascii="Palatino Linotype" w:hAnsi="Palatino Linotype"/>
          <w:sz w:val="24"/>
          <w:szCs w:val="24"/>
        </w:rPr>
      </w:pPr>
      <w:r w:rsidRPr="00964896">
        <w:rPr>
          <w:rFonts w:ascii="Palatino Linotype" w:hAnsi="Palatino Linotype"/>
          <w:sz w:val="24"/>
          <w:szCs w:val="24"/>
        </w:rPr>
        <w:t>Perdebatan mengenai natur manusia—apakah bersifat dikotomis (tubuh dan jiwa/roh) atau trikotomis (tubuh, jiwa, dan roh)—telah muncul sejak masa gereja awal. Para Bapa Gereja menunjukkan variasi terminologi dan pendekatan, sering kali dipengaruhi oleh konteks apologetis maupun arus filsafat Yunani pada zamannya. Namun demikian, arus utama teologi Barat pada akhirnya mengerucut pada posisi dikotomis, yang kemudian ditegaskan kembali dalam tradisi Reformasi.</w:t>
      </w:r>
    </w:p>
    <w:p w14:paraId="0AC0287A" w14:textId="4618382A" w:rsidR="00964896" w:rsidRPr="00964896" w:rsidRDefault="00964896" w:rsidP="002F1A59">
      <w:pPr>
        <w:spacing w:after="0" w:line="240" w:lineRule="auto"/>
        <w:ind w:firstLine="1080"/>
        <w:jc w:val="both"/>
        <w:rPr>
          <w:rFonts w:ascii="Palatino Linotype" w:hAnsi="Palatino Linotype"/>
          <w:sz w:val="24"/>
          <w:szCs w:val="24"/>
        </w:rPr>
      </w:pPr>
      <w:r w:rsidRPr="00964896">
        <w:rPr>
          <w:rFonts w:ascii="Palatino Linotype" w:hAnsi="Palatino Linotype"/>
          <w:sz w:val="24"/>
          <w:szCs w:val="24"/>
        </w:rPr>
        <w:t xml:space="preserve">Pada abad kedua, Irenaeus menunjukkan kecenderungan penggunaan bahasa trikotomis. Dalam </w:t>
      </w:r>
      <w:r w:rsidRPr="00964896">
        <w:rPr>
          <w:rFonts w:ascii="Palatino Linotype" w:hAnsi="Palatino Linotype"/>
          <w:i/>
          <w:iCs/>
          <w:sz w:val="24"/>
          <w:szCs w:val="24"/>
        </w:rPr>
        <w:t>Adversus Haereses</w:t>
      </w:r>
      <w:r w:rsidRPr="00964896">
        <w:rPr>
          <w:rFonts w:ascii="Palatino Linotype" w:hAnsi="Palatino Linotype"/>
          <w:sz w:val="24"/>
          <w:szCs w:val="24"/>
        </w:rPr>
        <w:t xml:space="preserve"> (Against Heresies), ia menjelaskan bahwa manusia sempurna melibatkan unsur tubuh, jiwa, dan roh dalam relasinya dengan Allah. Ia menulis:</w:t>
      </w:r>
      <w:r w:rsidR="002F1A59">
        <w:rPr>
          <w:rFonts w:ascii="Palatino Linotype" w:hAnsi="Palatino Linotype"/>
          <w:sz w:val="24"/>
          <w:szCs w:val="24"/>
        </w:rPr>
        <w:t xml:space="preserve"> </w:t>
      </w:r>
      <w:r w:rsidRPr="00964896">
        <w:rPr>
          <w:rFonts w:ascii="Palatino Linotype" w:hAnsi="Palatino Linotype"/>
          <w:sz w:val="24"/>
          <w:szCs w:val="24"/>
        </w:rPr>
        <w:t>“Manusia yang sempurna… terdiri dari perpaduan dan kesatuan jiwa yang menerima Roh Bapa, serta penyatuan dengan natur daging itu.”</w:t>
      </w:r>
      <w:r w:rsidR="003A59E6">
        <w:rPr>
          <w:rStyle w:val="FootnoteReference"/>
          <w:rFonts w:ascii="Palatino Linotype" w:hAnsi="Palatino Linotype"/>
          <w:sz w:val="24"/>
          <w:szCs w:val="24"/>
        </w:rPr>
        <w:footnoteReference w:id="4"/>
      </w:r>
    </w:p>
    <w:p w14:paraId="08DD7A49" w14:textId="77777777" w:rsidR="00964896" w:rsidRPr="00964896" w:rsidRDefault="00964896" w:rsidP="002F1A59">
      <w:pPr>
        <w:spacing w:after="0" w:line="240" w:lineRule="auto"/>
        <w:jc w:val="both"/>
        <w:rPr>
          <w:rFonts w:ascii="Palatino Linotype" w:hAnsi="Palatino Linotype"/>
          <w:sz w:val="24"/>
          <w:szCs w:val="24"/>
        </w:rPr>
      </w:pPr>
      <w:r w:rsidRPr="00964896">
        <w:rPr>
          <w:rFonts w:ascii="Palatino Linotype" w:hAnsi="Palatino Linotype"/>
          <w:sz w:val="24"/>
          <w:szCs w:val="24"/>
        </w:rPr>
        <w:t>Pernyataan ini menunjukkan bahwa Irenaeus memahami manusia dalam kerangka tiga unsur. Namun, pembagian tersebut lebih bersifat soteriologis daripada metafisik spekulatif. Ia tidak membangun sistem tiga substansi yang berdiri terpisah, melainkan menekankan kesatuan manusia dalam karya Roh Allah.</w:t>
      </w:r>
    </w:p>
    <w:p w14:paraId="1FC064D6" w14:textId="4213E8D1" w:rsidR="00964896" w:rsidRPr="00964896" w:rsidRDefault="00964896" w:rsidP="002F1A59">
      <w:pPr>
        <w:spacing w:after="0" w:line="240" w:lineRule="auto"/>
        <w:jc w:val="both"/>
        <w:rPr>
          <w:rFonts w:ascii="Palatino Linotype" w:hAnsi="Palatino Linotype"/>
          <w:sz w:val="24"/>
          <w:szCs w:val="24"/>
        </w:rPr>
      </w:pPr>
      <w:r w:rsidRPr="00964896">
        <w:rPr>
          <w:rFonts w:ascii="Palatino Linotype" w:hAnsi="Palatino Linotype"/>
          <w:sz w:val="24"/>
          <w:szCs w:val="24"/>
        </w:rPr>
        <w:t xml:space="preserve">Pendekatan yang lebih sistematis tampak dalam pemikiran Origen. Dalam </w:t>
      </w:r>
      <w:r w:rsidRPr="00964896">
        <w:rPr>
          <w:rFonts w:ascii="Palatino Linotype" w:hAnsi="Palatino Linotype"/>
          <w:i/>
          <w:iCs/>
          <w:sz w:val="24"/>
          <w:szCs w:val="24"/>
        </w:rPr>
        <w:t>De Principiis</w:t>
      </w:r>
      <w:r w:rsidRPr="00964896">
        <w:rPr>
          <w:rFonts w:ascii="Palatino Linotype" w:hAnsi="Palatino Linotype"/>
          <w:sz w:val="24"/>
          <w:szCs w:val="24"/>
        </w:rPr>
        <w:t xml:space="preserve"> (On First Principles), ia menyatakan secara eksplisit:</w:t>
      </w:r>
      <w:r w:rsidR="002F1A59">
        <w:rPr>
          <w:rFonts w:ascii="Palatino Linotype" w:hAnsi="Palatino Linotype"/>
          <w:sz w:val="24"/>
          <w:szCs w:val="24"/>
        </w:rPr>
        <w:t xml:space="preserve"> </w:t>
      </w:r>
      <w:r w:rsidRPr="00964896">
        <w:rPr>
          <w:rFonts w:ascii="Palatino Linotype" w:hAnsi="Palatino Linotype"/>
          <w:sz w:val="24"/>
          <w:szCs w:val="24"/>
        </w:rPr>
        <w:t xml:space="preserve">“Sebab manusia </w:t>
      </w:r>
      <w:r w:rsidRPr="00964896">
        <w:rPr>
          <w:rFonts w:ascii="Palatino Linotype" w:hAnsi="Palatino Linotype"/>
          <w:sz w:val="24"/>
          <w:szCs w:val="24"/>
        </w:rPr>
        <w:lastRenderedPageBreak/>
        <w:t>terdiri dari tubuh, jiwa, dan roh…</w:t>
      </w:r>
      <w:r w:rsidR="003A59E6">
        <w:rPr>
          <w:rFonts w:ascii="Palatino Linotype" w:hAnsi="Palatino Linotype"/>
          <w:sz w:val="24"/>
          <w:szCs w:val="24"/>
        </w:rPr>
        <w:t>.</w:t>
      </w:r>
      <w:r w:rsidR="007B557C">
        <w:rPr>
          <w:rStyle w:val="FootnoteReference"/>
          <w:rFonts w:ascii="Palatino Linotype" w:hAnsi="Palatino Linotype"/>
          <w:sz w:val="24"/>
          <w:szCs w:val="24"/>
        </w:rPr>
        <w:footnoteReference w:id="5"/>
      </w:r>
      <w:r w:rsidR="00387911">
        <w:rPr>
          <w:rFonts w:ascii="Palatino Linotype" w:hAnsi="Palatino Linotype"/>
          <w:sz w:val="24"/>
          <w:szCs w:val="24"/>
        </w:rPr>
        <w:t>”</w:t>
      </w:r>
      <w:r w:rsidR="002F1A59">
        <w:rPr>
          <w:rFonts w:ascii="Palatino Linotype" w:hAnsi="Palatino Linotype"/>
          <w:sz w:val="24"/>
          <w:szCs w:val="24"/>
        </w:rPr>
        <w:t xml:space="preserve"> </w:t>
      </w:r>
      <w:r w:rsidRPr="00964896">
        <w:rPr>
          <w:rFonts w:ascii="Palatino Linotype" w:hAnsi="Palatino Linotype"/>
          <w:sz w:val="24"/>
          <w:szCs w:val="24"/>
        </w:rPr>
        <w:t>Di sini, Origen menyusun antropologi yang lebih terstruktur, dengan roh dipahami sebagai unsur tertinggi dalam diri manusia yang memampukan persekutuan dengan Allah. Pengaruh filsafat Platonik terlihat dalam kerangka konseptualnya, sehingga trikotomi yang ia ajarkan bersifat lebih ontologis dibandingkan pendekatan Irenaeus.</w:t>
      </w:r>
    </w:p>
    <w:p w14:paraId="3528779E" w14:textId="5FCAF2A7" w:rsidR="00964896" w:rsidRPr="00964896" w:rsidRDefault="00964896" w:rsidP="002F1A59">
      <w:pPr>
        <w:spacing w:after="0" w:line="240" w:lineRule="auto"/>
        <w:jc w:val="both"/>
        <w:rPr>
          <w:rFonts w:ascii="Palatino Linotype" w:hAnsi="Palatino Linotype"/>
          <w:sz w:val="24"/>
          <w:szCs w:val="24"/>
        </w:rPr>
      </w:pPr>
      <w:r w:rsidRPr="00964896">
        <w:rPr>
          <w:rFonts w:ascii="Palatino Linotype" w:hAnsi="Palatino Linotype"/>
          <w:sz w:val="24"/>
          <w:szCs w:val="24"/>
        </w:rPr>
        <w:t xml:space="preserve">Berbeda dengan Origen, Tertullian cenderung mempertahankan pendekatan dikotomis. Dalam </w:t>
      </w:r>
      <w:r w:rsidRPr="00964896">
        <w:rPr>
          <w:rFonts w:ascii="Palatino Linotype" w:hAnsi="Palatino Linotype"/>
          <w:i/>
          <w:iCs/>
          <w:sz w:val="24"/>
          <w:szCs w:val="24"/>
        </w:rPr>
        <w:t>De Anima</w:t>
      </w:r>
      <w:r w:rsidRPr="00964896">
        <w:rPr>
          <w:rFonts w:ascii="Palatino Linotype" w:hAnsi="Palatino Linotype"/>
          <w:sz w:val="24"/>
          <w:szCs w:val="24"/>
        </w:rPr>
        <w:t xml:space="preserve"> (On the Soul), ia menyatakan:</w:t>
      </w:r>
      <w:r w:rsidR="002F1A59">
        <w:rPr>
          <w:rFonts w:ascii="Palatino Linotype" w:hAnsi="Palatino Linotype"/>
          <w:sz w:val="24"/>
          <w:szCs w:val="24"/>
        </w:rPr>
        <w:t xml:space="preserve"> </w:t>
      </w:r>
      <w:r w:rsidRPr="00964896">
        <w:rPr>
          <w:rFonts w:ascii="Palatino Linotype" w:hAnsi="Palatino Linotype"/>
          <w:sz w:val="24"/>
          <w:szCs w:val="24"/>
        </w:rPr>
        <w:t>“Jiwa adalah suatu substansi yang bersifat bendawi, meskipun tidak kelihatan…</w:t>
      </w:r>
      <w:r w:rsidRPr="00812D71">
        <w:rPr>
          <w:rFonts w:ascii="Palatino Linotype" w:hAnsi="Palatino Linotype"/>
          <w:sz w:val="24"/>
          <w:szCs w:val="24"/>
        </w:rPr>
        <w:t>”</w:t>
      </w:r>
      <w:r w:rsidR="00F72DEA" w:rsidRPr="00812D71">
        <w:rPr>
          <w:rStyle w:val="FootnoteReference"/>
          <w:rFonts w:ascii="Palatino Linotype" w:hAnsi="Palatino Linotype"/>
          <w:sz w:val="24"/>
          <w:szCs w:val="24"/>
        </w:rPr>
        <w:footnoteReference w:id="6"/>
      </w:r>
    </w:p>
    <w:p w14:paraId="6C81BD71" w14:textId="77777777" w:rsidR="00964896" w:rsidRPr="00964896" w:rsidRDefault="00964896" w:rsidP="00964896">
      <w:pPr>
        <w:spacing w:after="0" w:line="240" w:lineRule="auto"/>
        <w:ind w:firstLine="1080"/>
        <w:jc w:val="both"/>
        <w:rPr>
          <w:rFonts w:ascii="Palatino Linotype" w:hAnsi="Palatino Linotype"/>
          <w:sz w:val="24"/>
          <w:szCs w:val="24"/>
        </w:rPr>
      </w:pPr>
      <w:r w:rsidRPr="00964896">
        <w:rPr>
          <w:rFonts w:ascii="Palatino Linotype" w:hAnsi="Palatino Linotype"/>
          <w:sz w:val="24"/>
          <w:szCs w:val="24"/>
        </w:rPr>
        <w:t>Meskipun istilah “bendawi” di sini tidak dimaksudkan sebagai materi fisik kasar, Tertullian menegaskan bahwa jiwa memiliki realitas substansial yang konkret. Dalam kerangka ini, istilah “roh” sering dipahami sebagai aspek atau fungsi dari jiwa, bukan entitas ontologis yang terpisah.</w:t>
      </w:r>
    </w:p>
    <w:p w14:paraId="75AE618E" w14:textId="7ACEE5BA" w:rsidR="00964896" w:rsidRPr="00964896" w:rsidRDefault="00964896" w:rsidP="00516AA4">
      <w:pPr>
        <w:spacing w:after="0" w:line="240" w:lineRule="auto"/>
        <w:ind w:firstLine="1080"/>
        <w:jc w:val="both"/>
        <w:rPr>
          <w:rFonts w:ascii="Palatino Linotype" w:hAnsi="Palatino Linotype"/>
          <w:sz w:val="24"/>
          <w:szCs w:val="24"/>
        </w:rPr>
      </w:pPr>
      <w:r w:rsidRPr="00964896">
        <w:rPr>
          <w:rFonts w:ascii="Palatino Linotype" w:hAnsi="Palatino Linotype"/>
          <w:sz w:val="24"/>
          <w:szCs w:val="24"/>
        </w:rPr>
        <w:t xml:space="preserve">Perkembangan signifikan dalam antropologi teologis Barat terjadi melalui pemikiran Augustine of Hippo. Ia secara konsisten mengajarkan dikotomi antara tubuh dan jiwa. Dalam </w:t>
      </w:r>
      <w:r w:rsidRPr="00964896">
        <w:rPr>
          <w:rFonts w:ascii="Palatino Linotype" w:hAnsi="Palatino Linotype"/>
          <w:i/>
          <w:iCs/>
          <w:sz w:val="24"/>
          <w:szCs w:val="24"/>
        </w:rPr>
        <w:t>The City of God</w:t>
      </w:r>
      <w:r w:rsidRPr="00964896">
        <w:rPr>
          <w:rFonts w:ascii="Palatino Linotype" w:hAnsi="Palatino Linotype"/>
          <w:sz w:val="24"/>
          <w:szCs w:val="24"/>
        </w:rPr>
        <w:t>, ia menyatakan secara ringkas:</w:t>
      </w:r>
      <w:r w:rsidR="002F1A59">
        <w:rPr>
          <w:rFonts w:ascii="Palatino Linotype" w:hAnsi="Palatino Linotype"/>
          <w:sz w:val="24"/>
          <w:szCs w:val="24"/>
        </w:rPr>
        <w:t xml:space="preserve"> </w:t>
      </w:r>
      <w:r w:rsidRPr="00964896">
        <w:rPr>
          <w:rFonts w:ascii="Palatino Linotype" w:hAnsi="Palatino Linotype"/>
          <w:sz w:val="24"/>
          <w:szCs w:val="24"/>
        </w:rPr>
        <w:t>“Manusia terdiri dari jiwa dan tubuh.”</w:t>
      </w:r>
      <w:r w:rsidR="00812D71">
        <w:rPr>
          <w:rStyle w:val="FootnoteReference"/>
          <w:rFonts w:ascii="Palatino Linotype" w:hAnsi="Palatino Linotype"/>
          <w:sz w:val="24"/>
          <w:szCs w:val="24"/>
        </w:rPr>
        <w:footnoteReference w:id="7"/>
      </w:r>
      <w:r w:rsidR="00516AA4">
        <w:rPr>
          <w:rFonts w:ascii="Palatino Linotype" w:hAnsi="Palatino Linotype"/>
          <w:sz w:val="24"/>
          <w:szCs w:val="24"/>
        </w:rPr>
        <w:t xml:space="preserve"> </w:t>
      </w:r>
      <w:r w:rsidRPr="00964896">
        <w:rPr>
          <w:rFonts w:ascii="Palatino Linotype" w:hAnsi="Palatino Linotype"/>
          <w:sz w:val="24"/>
          <w:szCs w:val="24"/>
        </w:rPr>
        <w:t>Bagi Augustine, jiwa adalah satu substansi yang memiliki berbagai fakultas, seperti ingatan, pengertian, dan kehendak. Ia tidak membedakan jiwa dan roh sebagai dua substansi terpisah. Pendekatan ini memberikan fondasi yang kuat bagi antropologi Barat dan sangat memengaruhi perkembangan teologi skolastik serta Reformasi.</w:t>
      </w:r>
    </w:p>
    <w:p w14:paraId="75FA84E2" w14:textId="09398FDF" w:rsidR="00964896" w:rsidRPr="00964896" w:rsidRDefault="00964896" w:rsidP="00516AA4">
      <w:pPr>
        <w:spacing w:after="0" w:line="240" w:lineRule="auto"/>
        <w:jc w:val="both"/>
        <w:rPr>
          <w:rFonts w:ascii="Palatino Linotype" w:hAnsi="Palatino Linotype"/>
          <w:sz w:val="24"/>
          <w:szCs w:val="24"/>
        </w:rPr>
      </w:pPr>
      <w:r w:rsidRPr="00964896">
        <w:rPr>
          <w:rFonts w:ascii="Palatino Linotype" w:hAnsi="Palatino Linotype"/>
          <w:sz w:val="24"/>
          <w:szCs w:val="24"/>
        </w:rPr>
        <w:t xml:space="preserve">Memasuki era Reformasi, John Calvin menegaskan kembali posisi dikotomis dengan penekanan pada kesatuan pribadi manusia. Dalam </w:t>
      </w:r>
      <w:r w:rsidRPr="00964896">
        <w:rPr>
          <w:rFonts w:ascii="Palatino Linotype" w:hAnsi="Palatino Linotype"/>
          <w:i/>
          <w:iCs/>
          <w:sz w:val="24"/>
          <w:szCs w:val="24"/>
        </w:rPr>
        <w:t>Institutes of the Christian Religion</w:t>
      </w:r>
      <w:r w:rsidRPr="00964896">
        <w:rPr>
          <w:rFonts w:ascii="Palatino Linotype" w:hAnsi="Palatino Linotype"/>
          <w:sz w:val="24"/>
          <w:szCs w:val="24"/>
        </w:rPr>
        <w:t xml:space="preserve">, </w:t>
      </w:r>
      <w:proofErr w:type="gramStart"/>
      <w:r w:rsidRPr="00964896">
        <w:rPr>
          <w:rFonts w:ascii="Palatino Linotype" w:hAnsi="Palatino Linotype"/>
          <w:sz w:val="24"/>
          <w:szCs w:val="24"/>
        </w:rPr>
        <w:t>ia</w:t>
      </w:r>
      <w:proofErr w:type="gramEnd"/>
      <w:r w:rsidRPr="00964896">
        <w:rPr>
          <w:rFonts w:ascii="Palatino Linotype" w:hAnsi="Palatino Linotype"/>
          <w:sz w:val="24"/>
          <w:szCs w:val="24"/>
        </w:rPr>
        <w:t xml:space="preserve"> menjelaskan:</w:t>
      </w:r>
      <w:r w:rsidR="002F1A59">
        <w:rPr>
          <w:rFonts w:ascii="Palatino Linotype" w:hAnsi="Palatino Linotype"/>
          <w:sz w:val="24"/>
          <w:szCs w:val="24"/>
        </w:rPr>
        <w:t xml:space="preserve"> </w:t>
      </w:r>
      <w:r w:rsidR="00593492">
        <w:rPr>
          <w:rFonts w:ascii="Palatino Linotype" w:hAnsi="Palatino Linotype"/>
          <w:sz w:val="24"/>
          <w:szCs w:val="24"/>
        </w:rPr>
        <w:t xml:space="preserve"> </w:t>
      </w:r>
      <w:r w:rsidRPr="00964896">
        <w:rPr>
          <w:rFonts w:ascii="Palatino Linotype" w:hAnsi="Palatino Linotype"/>
          <w:sz w:val="24"/>
          <w:szCs w:val="24"/>
        </w:rPr>
        <w:t>“Meskipun jiwa itu pada hakikatnya tidak terbagi menjadi dua bagian, namun berbagai kemampuannya kadang-kadang dibedakan.”</w:t>
      </w:r>
      <w:r w:rsidR="00812D71">
        <w:rPr>
          <w:rStyle w:val="FootnoteReference"/>
          <w:rFonts w:ascii="Palatino Linotype" w:hAnsi="Palatino Linotype"/>
          <w:sz w:val="24"/>
          <w:szCs w:val="24"/>
        </w:rPr>
        <w:footnoteReference w:id="8"/>
      </w:r>
      <w:r w:rsidR="00812D71">
        <w:rPr>
          <w:rFonts w:ascii="Palatino Linotype" w:hAnsi="Palatino Linotype"/>
          <w:sz w:val="24"/>
          <w:szCs w:val="24"/>
        </w:rPr>
        <w:t xml:space="preserve"> </w:t>
      </w:r>
      <w:r w:rsidRPr="00964896">
        <w:rPr>
          <w:rFonts w:ascii="Palatino Linotype" w:hAnsi="Palatino Linotype"/>
          <w:sz w:val="24"/>
          <w:szCs w:val="24"/>
        </w:rPr>
        <w:t>Calvin memahami bahwa pembedaan istilah “jiwa” dan “roh” dalam Alkitab sering kali bersifat fungsional atau retoris, bukan ontologis. Ia menolak spekulasi metafisik yang tidak memiliki dasar kuat dalam kesaksian Kitab Suci.</w:t>
      </w:r>
      <w:r w:rsidR="00516AA4">
        <w:rPr>
          <w:rFonts w:ascii="Palatino Linotype" w:hAnsi="Palatino Linotype"/>
          <w:sz w:val="24"/>
          <w:szCs w:val="24"/>
        </w:rPr>
        <w:t xml:space="preserve"> </w:t>
      </w:r>
      <w:r w:rsidRPr="00964896">
        <w:rPr>
          <w:rFonts w:ascii="Palatino Linotype" w:hAnsi="Palatino Linotype"/>
          <w:sz w:val="24"/>
          <w:szCs w:val="24"/>
        </w:rPr>
        <w:t xml:space="preserve">Pandangan ini kemudian dirumuskan secara sistematis dalam tradisi Reformed modern oleh Louis Berkhof. Dalam </w:t>
      </w:r>
      <w:r w:rsidRPr="00964896">
        <w:rPr>
          <w:rFonts w:ascii="Palatino Linotype" w:hAnsi="Palatino Linotype"/>
          <w:i/>
          <w:iCs/>
          <w:sz w:val="24"/>
          <w:szCs w:val="24"/>
        </w:rPr>
        <w:t>Systematic Theology</w:t>
      </w:r>
      <w:r w:rsidRPr="00964896">
        <w:rPr>
          <w:rFonts w:ascii="Palatino Linotype" w:hAnsi="Palatino Linotype"/>
          <w:sz w:val="24"/>
          <w:szCs w:val="24"/>
        </w:rPr>
        <w:t>, ia menyatakan:</w:t>
      </w:r>
      <w:r w:rsidR="002F1A59">
        <w:rPr>
          <w:rFonts w:ascii="Palatino Linotype" w:hAnsi="Palatino Linotype"/>
          <w:sz w:val="24"/>
          <w:szCs w:val="24"/>
        </w:rPr>
        <w:t xml:space="preserve"> </w:t>
      </w:r>
      <w:r w:rsidRPr="00964896">
        <w:rPr>
          <w:rFonts w:ascii="Palatino Linotype" w:hAnsi="Palatino Linotype"/>
          <w:sz w:val="24"/>
          <w:szCs w:val="24"/>
        </w:rPr>
        <w:t>“Gambaran yang paling umum tentang manusia dalam Kitab Suci adalah bersifat dikotomis.”</w:t>
      </w:r>
      <w:r w:rsidR="00391D5D">
        <w:rPr>
          <w:rStyle w:val="FootnoteReference"/>
          <w:rFonts w:ascii="Palatino Linotype" w:hAnsi="Palatino Linotype"/>
          <w:sz w:val="24"/>
          <w:szCs w:val="24"/>
        </w:rPr>
        <w:footnoteReference w:id="9"/>
      </w:r>
      <w:r w:rsidR="002D3CC9">
        <w:rPr>
          <w:rFonts w:ascii="Palatino Linotype" w:hAnsi="Palatino Linotype"/>
          <w:sz w:val="24"/>
          <w:szCs w:val="24"/>
        </w:rPr>
        <w:t xml:space="preserve"> </w:t>
      </w:r>
      <w:r w:rsidRPr="00964896">
        <w:rPr>
          <w:rFonts w:ascii="Palatino Linotype" w:hAnsi="Palatino Linotype"/>
          <w:sz w:val="24"/>
          <w:szCs w:val="24"/>
        </w:rPr>
        <w:t xml:space="preserve">Berkhof menilai bahwa teks seperti 1 Tesalonika 5:23 tidak dapat dijadikan dasar untuk membangun </w:t>
      </w:r>
      <w:r w:rsidRPr="00964896">
        <w:rPr>
          <w:rFonts w:ascii="Palatino Linotype" w:hAnsi="Palatino Linotype"/>
          <w:sz w:val="24"/>
          <w:szCs w:val="24"/>
        </w:rPr>
        <w:lastRenderedPageBreak/>
        <w:t>sistem trikotomi ontologis, melainkan harus dipahami dalam kerangka gaya bahasa paralelisme yang lazim dalam tradisi Ibrani.</w:t>
      </w:r>
    </w:p>
    <w:p w14:paraId="26C8D381" w14:textId="77777777" w:rsidR="00964896" w:rsidRDefault="00964896" w:rsidP="00964896">
      <w:pPr>
        <w:spacing w:after="0" w:line="240" w:lineRule="auto"/>
        <w:ind w:firstLine="1080"/>
        <w:jc w:val="both"/>
        <w:rPr>
          <w:rFonts w:ascii="Palatino Linotype" w:hAnsi="Palatino Linotype"/>
          <w:sz w:val="24"/>
          <w:szCs w:val="24"/>
        </w:rPr>
      </w:pPr>
      <w:bookmarkStart w:id="2" w:name="_Hlk222843187"/>
      <w:r w:rsidRPr="00964896">
        <w:rPr>
          <w:rFonts w:ascii="Palatino Linotype" w:hAnsi="Palatino Linotype"/>
          <w:sz w:val="24"/>
          <w:szCs w:val="24"/>
        </w:rPr>
        <w:t>Dengan demikian, sejarah gereja menunjukkan adanya variasi dalam penggunaan istilah, tetapi bukan konsensus yang kuat terhadap trikotomi sebagai sistem ontologis yang mapan. Sementara beberapa tokoh seperti Origen mengembangkan t</w:t>
      </w:r>
      <w:bookmarkEnd w:id="2"/>
      <w:r w:rsidRPr="00964896">
        <w:rPr>
          <w:rFonts w:ascii="Palatino Linotype" w:hAnsi="Palatino Linotype"/>
          <w:sz w:val="24"/>
          <w:szCs w:val="24"/>
        </w:rPr>
        <w:t>rikotomi secara sistematis, arus utama teologi Barat—terutama melalui Augustine dan diteruskan dalam tradisi Reformasi—lebih konsisten menegaskan dikotomi dengan penekanan pada kesatuan pribadi manusia serta kehati-hatian terhadap spekulasi metafisik yang melampaui kesaksian Alkitab.</w:t>
      </w:r>
    </w:p>
    <w:p w14:paraId="77CDD309" w14:textId="77777777" w:rsidR="002F1A59" w:rsidRPr="00964896" w:rsidRDefault="002F1A59" w:rsidP="002F1A59">
      <w:pPr>
        <w:spacing w:after="0" w:line="240" w:lineRule="auto"/>
        <w:jc w:val="both"/>
        <w:rPr>
          <w:rFonts w:ascii="Palatino Linotype" w:hAnsi="Palatino Linotype"/>
          <w:sz w:val="24"/>
          <w:szCs w:val="24"/>
        </w:rPr>
      </w:pPr>
    </w:p>
    <w:p w14:paraId="07A9A84D" w14:textId="7D959BB4" w:rsidR="007704FA" w:rsidRDefault="002F1A59" w:rsidP="002F1A59">
      <w:pPr>
        <w:spacing w:after="0" w:line="240" w:lineRule="auto"/>
        <w:jc w:val="both"/>
        <w:rPr>
          <w:rFonts w:ascii="Palatino Linotype" w:hAnsi="Palatino Linotype"/>
          <w:b/>
          <w:bCs/>
          <w:i/>
          <w:sz w:val="24"/>
          <w:szCs w:val="24"/>
          <w:lang w:val="en-US"/>
        </w:rPr>
      </w:pPr>
      <w:r w:rsidRPr="002F1A59">
        <w:rPr>
          <w:rFonts w:ascii="Palatino Linotype" w:hAnsi="Palatino Linotype"/>
          <w:b/>
          <w:bCs/>
          <w:i/>
          <w:sz w:val="24"/>
          <w:szCs w:val="24"/>
          <w:lang w:val="en-US"/>
        </w:rPr>
        <w:t>Keadaan Jiwa Setelah Kematian</w:t>
      </w:r>
    </w:p>
    <w:p w14:paraId="175508E7" w14:textId="77777777" w:rsidR="002F1A59" w:rsidRPr="002F1A59" w:rsidRDefault="002F1A59" w:rsidP="002F1A59">
      <w:pPr>
        <w:spacing w:after="0" w:line="240" w:lineRule="auto"/>
        <w:ind w:firstLine="1077"/>
        <w:jc w:val="both"/>
        <w:rPr>
          <w:rFonts w:ascii="Palatino Linotype" w:hAnsi="Palatino Linotype"/>
          <w:sz w:val="24"/>
          <w:szCs w:val="24"/>
        </w:rPr>
      </w:pPr>
      <w:r w:rsidRPr="002F1A59">
        <w:rPr>
          <w:rFonts w:ascii="Palatino Linotype" w:hAnsi="Palatino Linotype"/>
          <w:sz w:val="24"/>
          <w:szCs w:val="24"/>
          <w:lang w:val="en-US"/>
        </w:rPr>
        <w:t xml:space="preserve">Pembahasan mengenai keadaan jiwa setelah kematian merupakan salah satu isu sentral dalam eskatologi Kristen. Pertanyaan mendasarnya adalah apakah manusia tetap sadar setelah kematian sebelum kebangkitan tubuh, ataukah ia berada dalam kondisi tidak sadar sampai hari kebangkitan. Tradisi Protestan klasik umumnya memahami adanya. </w:t>
      </w:r>
      <w:r w:rsidRPr="002F1A59">
        <w:rPr>
          <w:rFonts w:ascii="Palatino Linotype" w:hAnsi="Palatino Linotype"/>
          <w:i/>
          <w:iCs/>
          <w:sz w:val="24"/>
          <w:szCs w:val="24"/>
          <w:lang w:val="en-US"/>
        </w:rPr>
        <w:t>intermediate state</w:t>
      </w:r>
      <w:r w:rsidRPr="002F1A59">
        <w:rPr>
          <w:rFonts w:ascii="Palatino Linotype" w:hAnsi="Palatino Linotype"/>
          <w:sz w:val="24"/>
          <w:szCs w:val="24"/>
          <w:lang w:val="en-US"/>
        </w:rPr>
        <w:t xml:space="preserve">, yaitu keadaan sadar jiwa tanpa tubuh fisik yang menantikan kebangkitan akhir. </w:t>
      </w:r>
      <w:r w:rsidRPr="002F1A59">
        <w:rPr>
          <w:rFonts w:ascii="Palatino Linotype" w:hAnsi="Palatino Linotype"/>
          <w:sz w:val="24"/>
          <w:szCs w:val="24"/>
        </w:rPr>
        <w:t xml:space="preserve">Salah satu teks yang sering dijadikan dasar adalah Kitab Wahyu 6:9, di mana rasul Yohanes melihat “jiwa-jiwa orang yang telah dibunuh oleh karena firman Allah” berada di bawah mezbah dan berseru kepada Allah agar penghakiman segera dinyatakan. Istilah yang digunakan adalah </w:t>
      </w:r>
      <w:r w:rsidRPr="002F1A59">
        <w:rPr>
          <w:rFonts w:ascii="Palatino Linotype" w:hAnsi="Palatino Linotype"/>
          <w:i/>
          <w:iCs/>
          <w:sz w:val="24"/>
          <w:szCs w:val="24"/>
        </w:rPr>
        <w:t>psyche</w:t>
      </w:r>
      <w:r w:rsidRPr="002F1A59">
        <w:rPr>
          <w:rFonts w:ascii="Palatino Linotype" w:hAnsi="Palatino Linotype"/>
          <w:sz w:val="24"/>
          <w:szCs w:val="24"/>
        </w:rPr>
        <w:t xml:space="preserve"> (jiwa), dan mereka digambarkan sadar, mampu berbicara, serta mengingat penderitaan yang mereka alami.</w:t>
      </w:r>
    </w:p>
    <w:p w14:paraId="34434442" w14:textId="77777777" w:rsidR="002F1A59" w:rsidRPr="002F1A59" w:rsidRDefault="002F1A59" w:rsidP="002F1A59">
      <w:pPr>
        <w:spacing w:after="0" w:line="240" w:lineRule="auto"/>
        <w:ind w:firstLine="1077"/>
        <w:jc w:val="both"/>
        <w:rPr>
          <w:rFonts w:ascii="Palatino Linotype" w:hAnsi="Palatino Linotype"/>
          <w:sz w:val="24"/>
          <w:szCs w:val="24"/>
        </w:rPr>
      </w:pPr>
      <w:r w:rsidRPr="002F1A59">
        <w:rPr>
          <w:rFonts w:ascii="Palatino Linotype" w:hAnsi="Palatino Linotype"/>
          <w:sz w:val="24"/>
          <w:szCs w:val="24"/>
        </w:rPr>
        <w:t>Walaupun kitab Wahyu bersifat apokaliptik dan penuh simbolisme, gambaran ini menunjukkan keberlanjutan eksistensi personal setelah kematian. Jiwa-jiwa tersebut tidak digambarkan sebagai entitas yang berkeliaran di dunia, melainkan berada dalam lingkup kedaulatan Allah. Karena itu, teks ini sering dipahami sebagai indikasi adanya kesadaran pasca-kematian.</w:t>
      </w:r>
    </w:p>
    <w:p w14:paraId="41392852" w14:textId="3633A699" w:rsidR="002F1A59" w:rsidRPr="002F1A59" w:rsidRDefault="002F1A59" w:rsidP="00EF68F1">
      <w:pPr>
        <w:spacing w:after="0" w:line="240" w:lineRule="auto"/>
        <w:ind w:firstLine="1077"/>
        <w:jc w:val="both"/>
        <w:rPr>
          <w:rFonts w:ascii="Palatino Linotype" w:hAnsi="Palatino Linotype"/>
          <w:sz w:val="24"/>
          <w:szCs w:val="24"/>
        </w:rPr>
      </w:pPr>
      <w:r w:rsidRPr="002F1A59">
        <w:rPr>
          <w:rFonts w:ascii="Palatino Linotype" w:hAnsi="Palatino Linotype"/>
          <w:sz w:val="24"/>
          <w:szCs w:val="24"/>
        </w:rPr>
        <w:t>Menurut Wayne Grudem, orang-orang percaya yang telah mati berada dalam keadaan sadar di hadirat Allah sebelum kebangkitan tubuh</w:t>
      </w:r>
      <w:r w:rsidR="002D3CC9">
        <w:rPr>
          <w:rStyle w:val="FootnoteReference"/>
          <w:rFonts w:ascii="Palatino Linotype" w:hAnsi="Palatino Linotype"/>
          <w:sz w:val="24"/>
          <w:szCs w:val="24"/>
        </w:rPr>
        <w:footnoteReference w:id="10"/>
      </w:r>
      <w:r w:rsidRPr="002F1A59">
        <w:rPr>
          <w:rFonts w:ascii="Palatino Linotype" w:hAnsi="Palatino Linotype"/>
          <w:sz w:val="24"/>
          <w:szCs w:val="24"/>
        </w:rPr>
        <w:t>. Pandangan ini sejalan dengan teologi Reformed klasik yang menegaskan bahwa jiwa langsung memasuki keadaan sadar setelah kematian</w:t>
      </w:r>
      <w:r w:rsidR="002D3CC9">
        <w:rPr>
          <w:rStyle w:val="FootnoteReference"/>
          <w:rFonts w:ascii="Palatino Linotype" w:hAnsi="Palatino Linotype"/>
          <w:sz w:val="24"/>
          <w:szCs w:val="24"/>
        </w:rPr>
        <w:footnoteReference w:id="11"/>
      </w:r>
      <w:r w:rsidRPr="002F1A59">
        <w:rPr>
          <w:rFonts w:ascii="Palatino Linotype" w:hAnsi="Palatino Linotype"/>
          <w:sz w:val="24"/>
          <w:szCs w:val="24"/>
        </w:rPr>
        <w:t>.</w:t>
      </w:r>
      <w:r w:rsidR="00EF68F1">
        <w:rPr>
          <w:rFonts w:ascii="Palatino Linotype" w:hAnsi="Palatino Linotype"/>
          <w:sz w:val="24"/>
          <w:szCs w:val="24"/>
        </w:rPr>
        <w:t xml:space="preserve"> </w:t>
      </w:r>
      <w:r w:rsidRPr="002F1A59">
        <w:rPr>
          <w:rFonts w:ascii="Palatino Linotype" w:hAnsi="Palatino Linotype"/>
          <w:sz w:val="24"/>
          <w:szCs w:val="24"/>
        </w:rPr>
        <w:t xml:space="preserve">Selain itu, Surat kepada Orang Ibrani 9:27 menyatakan bahwa manusia ditetapkan untuk mati satu kali dan sesudah itu dihakimi. Ayat ini menegaskan kepastian penghakiman setelah kematian dan menolak konsep reinkarnasi. Walaupun teks ini tidak menjelaskan secara rinci urutan kronologis antara kematian dan penghakiman akhir, ayat ini menunjukkan kesinambungan identitas pribadi antara kematian dan penghakiman. Konsep </w:t>
      </w:r>
      <w:r w:rsidRPr="002F1A59">
        <w:rPr>
          <w:rFonts w:ascii="Palatino Linotype" w:hAnsi="Palatino Linotype"/>
          <w:i/>
          <w:iCs/>
          <w:sz w:val="24"/>
          <w:szCs w:val="24"/>
        </w:rPr>
        <w:t>intermediate state</w:t>
      </w:r>
      <w:r w:rsidRPr="002F1A59">
        <w:rPr>
          <w:rFonts w:ascii="Palatino Linotype" w:hAnsi="Palatino Linotype"/>
          <w:sz w:val="24"/>
          <w:szCs w:val="24"/>
        </w:rPr>
        <w:t xml:space="preserve"> dipahami sebagai keberadaan sadar tanpa tubuh fisik yang bersifat </w:t>
      </w:r>
      <w:r w:rsidRPr="002F1A59">
        <w:rPr>
          <w:rFonts w:ascii="Palatino Linotype" w:hAnsi="Palatino Linotype"/>
          <w:sz w:val="24"/>
          <w:szCs w:val="24"/>
        </w:rPr>
        <w:lastRenderedPageBreak/>
        <w:t>sementara. Keadaan ini bukan tujuan akhir, sebab pengharapan Kristen tetap berpusat pada kebangkitan tubuh dan pemulihan ciptaan. Dengan demikian, intermediate state tidak mengarah pada dualisme Platonik yang merendahkan tubuh, melainkan menjaga kesinambungan personal sambil menantikan kesempurnaan eskatologis.</w:t>
      </w:r>
    </w:p>
    <w:p w14:paraId="48CCAFF9" w14:textId="79543D17" w:rsidR="002F1A59" w:rsidRPr="002F1A59" w:rsidRDefault="002F1A59" w:rsidP="002F1A59">
      <w:pPr>
        <w:spacing w:after="0" w:line="240" w:lineRule="auto"/>
        <w:ind w:firstLine="1077"/>
        <w:jc w:val="both"/>
        <w:rPr>
          <w:rFonts w:ascii="Palatino Linotype" w:hAnsi="Palatino Linotype"/>
          <w:sz w:val="24"/>
          <w:szCs w:val="24"/>
        </w:rPr>
      </w:pPr>
      <w:r w:rsidRPr="002F1A59">
        <w:rPr>
          <w:rFonts w:ascii="Palatino Linotype" w:hAnsi="Palatino Linotype"/>
          <w:sz w:val="24"/>
          <w:szCs w:val="24"/>
        </w:rPr>
        <w:t xml:space="preserve">John Calvin secara tegas menolak doktrin </w:t>
      </w:r>
      <w:r w:rsidRPr="002F1A59">
        <w:rPr>
          <w:rFonts w:ascii="Palatino Linotype" w:hAnsi="Palatino Linotype"/>
          <w:i/>
          <w:iCs/>
          <w:sz w:val="24"/>
          <w:szCs w:val="24"/>
        </w:rPr>
        <w:t>soul sleep</w:t>
      </w:r>
      <w:r w:rsidRPr="002F1A59">
        <w:rPr>
          <w:rFonts w:ascii="Palatino Linotype" w:hAnsi="Palatino Linotype"/>
          <w:sz w:val="24"/>
          <w:szCs w:val="24"/>
        </w:rPr>
        <w:t xml:space="preserve">. Dalam </w:t>
      </w:r>
      <w:r w:rsidRPr="002F1A59">
        <w:rPr>
          <w:rFonts w:ascii="Palatino Linotype" w:hAnsi="Palatino Linotype"/>
          <w:i/>
          <w:iCs/>
          <w:sz w:val="24"/>
          <w:szCs w:val="24"/>
        </w:rPr>
        <w:t>Institutes of the Christian Religion</w:t>
      </w:r>
      <w:r w:rsidRPr="002F1A59">
        <w:rPr>
          <w:rFonts w:ascii="Palatino Linotype" w:hAnsi="Palatino Linotype"/>
          <w:sz w:val="24"/>
          <w:szCs w:val="24"/>
        </w:rPr>
        <w:t>, ia menegaskan bahwa jiwa orang percaya tetap hidup dan sadar setelah kematian, meskipun belum menerima tubuh kebangkitan</w:t>
      </w:r>
      <w:r w:rsidR="0036252A">
        <w:rPr>
          <w:rStyle w:val="FootnoteReference"/>
          <w:rFonts w:ascii="Palatino Linotype" w:hAnsi="Palatino Linotype"/>
          <w:sz w:val="24"/>
          <w:szCs w:val="24"/>
        </w:rPr>
        <w:footnoteReference w:id="12"/>
      </w:r>
      <w:r w:rsidRPr="002F1A59">
        <w:rPr>
          <w:rFonts w:ascii="Palatino Linotype" w:hAnsi="Palatino Linotype"/>
          <w:sz w:val="24"/>
          <w:szCs w:val="24"/>
        </w:rPr>
        <w:t>. Calvin memandang bahwa ajaran tidur jiwa tidak selaras dengan kesaksian Alkitab tentang persekutuan orang percaya dengan Kristus setelah kematian</w:t>
      </w:r>
      <w:r w:rsidR="0036252A">
        <w:rPr>
          <w:rStyle w:val="FootnoteReference"/>
          <w:rFonts w:ascii="Palatino Linotype" w:hAnsi="Palatino Linotype"/>
          <w:sz w:val="24"/>
          <w:szCs w:val="24"/>
        </w:rPr>
        <w:footnoteReference w:id="13"/>
      </w:r>
      <w:r w:rsidRPr="002F1A59">
        <w:rPr>
          <w:rFonts w:ascii="Palatino Linotype" w:hAnsi="Palatino Linotype"/>
          <w:sz w:val="24"/>
          <w:szCs w:val="24"/>
        </w:rPr>
        <w:t>.</w:t>
      </w:r>
    </w:p>
    <w:p w14:paraId="6F87C9A8" w14:textId="05300A91" w:rsidR="002F1A59" w:rsidRPr="002F1A59" w:rsidRDefault="002F1A59" w:rsidP="002F1A59">
      <w:pPr>
        <w:spacing w:after="0" w:line="240" w:lineRule="auto"/>
        <w:ind w:firstLine="1077"/>
        <w:jc w:val="both"/>
        <w:rPr>
          <w:rFonts w:ascii="Palatino Linotype" w:hAnsi="Palatino Linotype"/>
          <w:sz w:val="24"/>
          <w:szCs w:val="24"/>
        </w:rPr>
      </w:pPr>
      <w:r w:rsidRPr="002F1A59">
        <w:rPr>
          <w:rFonts w:ascii="Palatino Linotype" w:hAnsi="Palatino Linotype"/>
          <w:sz w:val="24"/>
          <w:szCs w:val="24"/>
        </w:rPr>
        <w:t>Demikian pula, Anthony A. Hoekema menyatakan bahwa intermediate state adalah keadaan sadar namun belum sempurna, sebab kesempurnaan penuh baru terwujud setelah kebangkitan tubuh dan pembaruan ciptaan</w:t>
      </w:r>
      <w:r w:rsidR="003E249B">
        <w:rPr>
          <w:rStyle w:val="FootnoteReference"/>
          <w:rFonts w:ascii="Palatino Linotype" w:hAnsi="Palatino Linotype"/>
          <w:sz w:val="24"/>
          <w:szCs w:val="24"/>
        </w:rPr>
        <w:footnoteReference w:id="14"/>
      </w:r>
      <w:r w:rsidRPr="002F1A59">
        <w:rPr>
          <w:rFonts w:ascii="Palatino Linotype" w:hAnsi="Palatino Linotype"/>
          <w:sz w:val="24"/>
          <w:szCs w:val="24"/>
        </w:rPr>
        <w:t>. Ia menekankan bahwa keadaan ini bersifat sementara dan tidak boleh dipisahkan dari pengharapan kebangkitan</w:t>
      </w:r>
      <w:r w:rsidR="003E249B">
        <w:rPr>
          <w:rStyle w:val="FootnoteReference"/>
          <w:rFonts w:ascii="Palatino Linotype" w:hAnsi="Palatino Linotype"/>
          <w:sz w:val="24"/>
          <w:szCs w:val="24"/>
        </w:rPr>
        <w:footnoteReference w:id="15"/>
      </w:r>
      <w:r w:rsidRPr="002F1A59">
        <w:rPr>
          <w:rFonts w:ascii="Palatino Linotype" w:hAnsi="Palatino Linotype"/>
          <w:sz w:val="24"/>
          <w:szCs w:val="24"/>
        </w:rPr>
        <w:t>.</w:t>
      </w:r>
    </w:p>
    <w:p w14:paraId="475028F1" w14:textId="1836AFE2" w:rsidR="002F1A59" w:rsidRPr="002F1A59" w:rsidRDefault="002F1A59" w:rsidP="002F1A59">
      <w:pPr>
        <w:spacing w:after="0" w:line="240" w:lineRule="auto"/>
        <w:ind w:firstLine="1077"/>
        <w:jc w:val="both"/>
        <w:rPr>
          <w:rFonts w:ascii="Palatino Linotype" w:hAnsi="Palatino Linotype"/>
          <w:sz w:val="24"/>
          <w:szCs w:val="24"/>
        </w:rPr>
      </w:pPr>
      <w:r w:rsidRPr="002F1A59">
        <w:rPr>
          <w:rFonts w:ascii="Palatino Linotype" w:hAnsi="Palatino Linotype"/>
          <w:sz w:val="24"/>
          <w:szCs w:val="24"/>
        </w:rPr>
        <w:t>Sementara itu, Louis Berkhof menegaskan bahwa setelah kematian, jiwa memasuki keadaan sadar baik dalam kebahagiaan maupun dalam penderitaan</w:t>
      </w:r>
      <w:r w:rsidR="003E249B">
        <w:rPr>
          <w:rStyle w:val="FootnoteReference"/>
          <w:rFonts w:ascii="Palatino Linotype" w:hAnsi="Palatino Linotype"/>
          <w:sz w:val="24"/>
          <w:szCs w:val="24"/>
        </w:rPr>
        <w:footnoteReference w:id="16"/>
      </w:r>
      <w:r w:rsidRPr="002F1A59">
        <w:rPr>
          <w:rFonts w:ascii="Palatino Linotype" w:hAnsi="Palatino Linotype"/>
          <w:sz w:val="24"/>
          <w:szCs w:val="24"/>
        </w:rPr>
        <w:t>. Grudem juga menegaskan bahwa kesadaran ini tidak bertentangan dengan doktrin kebangkitan tubuh, melainkan menegaskan kesinambungan identitas personal sampai pada kebangkitan akhir</w:t>
      </w:r>
      <w:r w:rsidR="003E0B6E">
        <w:rPr>
          <w:rStyle w:val="FootnoteReference"/>
          <w:rFonts w:ascii="Palatino Linotype" w:hAnsi="Palatino Linotype"/>
          <w:sz w:val="24"/>
          <w:szCs w:val="24"/>
        </w:rPr>
        <w:footnoteReference w:id="17"/>
      </w:r>
      <w:r w:rsidRPr="002F1A59">
        <w:rPr>
          <w:rFonts w:ascii="Palatino Linotype" w:hAnsi="Palatino Linotype"/>
          <w:sz w:val="24"/>
          <w:szCs w:val="24"/>
        </w:rPr>
        <w:t xml:space="preserve">. Penolakan terhadap doktrin </w:t>
      </w:r>
      <w:r w:rsidRPr="002F1A59">
        <w:rPr>
          <w:rFonts w:ascii="Palatino Linotype" w:hAnsi="Palatino Linotype"/>
          <w:i/>
          <w:iCs/>
          <w:sz w:val="24"/>
          <w:szCs w:val="24"/>
        </w:rPr>
        <w:t>soul sleep</w:t>
      </w:r>
      <w:r w:rsidRPr="002F1A59">
        <w:rPr>
          <w:rFonts w:ascii="Palatino Linotype" w:hAnsi="Palatino Linotype"/>
          <w:sz w:val="24"/>
          <w:szCs w:val="24"/>
        </w:rPr>
        <w:t xml:space="preserve"> dalam tradisi Reformed, sebagaimana dirumuskan oleh Calvin, Hoekema, Berkhof, dan Grudem, merupakan upaya menjaga keseimbangan antara realitas kesadaran jiwa setelah kematian dan sentralitas kebangkitan tubuh dalam eskatologi Kristen. </w:t>
      </w:r>
      <w:r w:rsidRPr="002F1A59">
        <w:rPr>
          <w:rFonts w:ascii="Palatino Linotype" w:hAnsi="Palatino Linotype"/>
          <w:i/>
          <w:iCs/>
          <w:sz w:val="24"/>
          <w:szCs w:val="24"/>
        </w:rPr>
        <w:t>Intermediate state</w:t>
      </w:r>
      <w:r w:rsidRPr="002F1A59">
        <w:rPr>
          <w:rFonts w:ascii="Palatino Linotype" w:hAnsi="Palatino Linotype"/>
          <w:sz w:val="24"/>
          <w:szCs w:val="24"/>
        </w:rPr>
        <w:t xml:space="preserve"> dipahami sebagai keadaan sadar yang bersifat sementara, menantikan penyempurnaan dalam kebangkitan dan pembaruan ciptaan.</w:t>
      </w:r>
    </w:p>
    <w:p w14:paraId="693F8994" w14:textId="77777777" w:rsidR="002F1A59" w:rsidRDefault="002F1A59" w:rsidP="002F1A59">
      <w:pPr>
        <w:spacing w:after="0" w:line="240" w:lineRule="auto"/>
        <w:ind w:firstLine="1077"/>
        <w:jc w:val="both"/>
        <w:rPr>
          <w:rFonts w:ascii="Palatino Linotype" w:hAnsi="Palatino Linotype"/>
          <w:sz w:val="24"/>
          <w:szCs w:val="24"/>
        </w:rPr>
      </w:pPr>
      <w:bookmarkStart w:id="3" w:name="_Hlk222843447"/>
      <w:r w:rsidRPr="002F1A59">
        <w:rPr>
          <w:rFonts w:ascii="Palatino Linotype" w:hAnsi="Palatino Linotype"/>
          <w:sz w:val="24"/>
          <w:szCs w:val="24"/>
        </w:rPr>
        <w:t xml:space="preserve">Dengan demikian, doktrin ini bukanlah pengalihan fokus dari kebangkitan, melainkan afirmasi bahwa keselamatan Allah mencakup kesinambungan pribadi dari kematian hingga kemuliaan eskatologis </w:t>
      </w:r>
      <w:bookmarkEnd w:id="3"/>
      <w:r w:rsidRPr="002F1A59">
        <w:rPr>
          <w:rFonts w:ascii="Palatino Linotype" w:hAnsi="Palatino Linotype"/>
          <w:sz w:val="24"/>
          <w:szCs w:val="24"/>
        </w:rPr>
        <w:t>yang final.</w:t>
      </w:r>
    </w:p>
    <w:p w14:paraId="10903CBC" w14:textId="77777777" w:rsidR="002F1A59" w:rsidRDefault="002F1A59" w:rsidP="002F1A59">
      <w:pPr>
        <w:spacing w:after="0" w:line="240" w:lineRule="auto"/>
        <w:rPr>
          <w:rFonts w:ascii="Palatino Linotype" w:hAnsi="Palatino Linotype"/>
          <w:sz w:val="24"/>
          <w:szCs w:val="24"/>
        </w:rPr>
      </w:pPr>
    </w:p>
    <w:p w14:paraId="5C348087" w14:textId="77777777" w:rsidR="00F96A48" w:rsidRDefault="00F96A48" w:rsidP="007704FA">
      <w:pPr>
        <w:spacing w:after="0" w:line="240" w:lineRule="auto"/>
        <w:rPr>
          <w:rFonts w:ascii="Palatino Linotype" w:hAnsi="Palatino Linotype"/>
          <w:b/>
          <w:bCs/>
          <w:i/>
          <w:sz w:val="24"/>
          <w:szCs w:val="24"/>
          <w:lang w:val="en-US"/>
        </w:rPr>
      </w:pPr>
      <w:r w:rsidRPr="00F96A48">
        <w:rPr>
          <w:rFonts w:ascii="Palatino Linotype" w:hAnsi="Palatino Linotype"/>
          <w:b/>
          <w:bCs/>
          <w:i/>
          <w:sz w:val="24"/>
          <w:szCs w:val="24"/>
          <w:lang w:val="en-US"/>
        </w:rPr>
        <w:t xml:space="preserve">Implikasi Sistematis dan Eskatologis </w:t>
      </w:r>
    </w:p>
    <w:p w14:paraId="295E7897" w14:textId="77777777" w:rsidR="00F96A48" w:rsidRPr="00F96A48" w:rsidRDefault="00F96A48" w:rsidP="0007529E">
      <w:pPr>
        <w:spacing w:after="0" w:line="240" w:lineRule="auto"/>
        <w:ind w:firstLine="1077"/>
        <w:jc w:val="both"/>
        <w:rPr>
          <w:rFonts w:ascii="Palatino Linotype" w:hAnsi="Palatino Linotype"/>
          <w:sz w:val="24"/>
          <w:szCs w:val="24"/>
        </w:rPr>
      </w:pPr>
      <w:r w:rsidRPr="00F96A48">
        <w:rPr>
          <w:rFonts w:ascii="Palatino Linotype" w:hAnsi="Palatino Linotype"/>
          <w:sz w:val="24"/>
          <w:szCs w:val="24"/>
        </w:rPr>
        <w:t xml:space="preserve">Pembahasan mengenai dikotomi dan destinasi jiwa setelah kematian tidak berhenti pada tataran antropologi biblika semata, melainkan memiliki implikasi luas dalam teologi sistematika dan eskatologi. Jika manusia dipahami sebagai kesatuan </w:t>
      </w:r>
      <w:r w:rsidRPr="00F96A48">
        <w:rPr>
          <w:rFonts w:ascii="Palatino Linotype" w:hAnsi="Palatino Linotype"/>
          <w:sz w:val="24"/>
          <w:szCs w:val="24"/>
        </w:rPr>
        <w:lastRenderedPageBreak/>
        <w:t>organis yang terdiri dari tubuh dan aspek immaterial (jiwa/roh) yang bersinonim secara fungsional, maka beberapa konsekuensi teologis berikut dapat dirumuskan.</w:t>
      </w:r>
    </w:p>
    <w:p w14:paraId="6D44A18C" w14:textId="77777777" w:rsidR="0007529E"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Pandangan dikotomis yang menekankan bahwa roh/jiwa kembali kepada Allah (Pkh. 12:7) memperkuat doktrin ketergantungan ontologis manusia kepada Sang Pencipta. Manusia tidak memiliki eksistensi otonom, baik dalam hidup maupun setelah kematian.</w:t>
      </w:r>
    </w:p>
    <w:p w14:paraId="79982E9D" w14:textId="48BF484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Hal ini selaras dengan penekanan teologi Reformed sebagaimana dirumuskan oleh Herman Bavinck bahwa eksistensi manusia selalu bersifat derivatif dan bergantung pada Allah. Dengan demikian:</w:t>
      </w:r>
    </w:p>
    <w:p w14:paraId="5E4134FE" w14:textId="77777777" w:rsidR="00F96A48" w:rsidRPr="00F96A48" w:rsidRDefault="00F96A48" w:rsidP="00F96A48">
      <w:pPr>
        <w:numPr>
          <w:ilvl w:val="0"/>
          <w:numId w:val="7"/>
        </w:numPr>
        <w:spacing w:after="0" w:line="240" w:lineRule="auto"/>
        <w:jc w:val="both"/>
        <w:rPr>
          <w:rFonts w:ascii="Palatino Linotype" w:hAnsi="Palatino Linotype"/>
          <w:sz w:val="24"/>
          <w:szCs w:val="24"/>
        </w:rPr>
      </w:pPr>
      <w:r w:rsidRPr="00F96A48">
        <w:rPr>
          <w:rFonts w:ascii="Palatino Linotype" w:hAnsi="Palatino Linotype"/>
          <w:sz w:val="24"/>
          <w:szCs w:val="24"/>
        </w:rPr>
        <w:t>Kehidupan berasal dari Allah.</w:t>
      </w:r>
    </w:p>
    <w:p w14:paraId="069AED23" w14:textId="77777777" w:rsidR="00F96A48" w:rsidRPr="00F96A48" w:rsidRDefault="00F96A48" w:rsidP="00F96A48">
      <w:pPr>
        <w:numPr>
          <w:ilvl w:val="0"/>
          <w:numId w:val="7"/>
        </w:numPr>
        <w:spacing w:after="0" w:line="240" w:lineRule="auto"/>
        <w:jc w:val="both"/>
        <w:rPr>
          <w:rFonts w:ascii="Palatino Linotype" w:hAnsi="Palatino Linotype"/>
          <w:sz w:val="24"/>
          <w:szCs w:val="24"/>
        </w:rPr>
      </w:pPr>
      <w:r w:rsidRPr="00F96A48">
        <w:rPr>
          <w:rFonts w:ascii="Palatino Linotype" w:hAnsi="Palatino Linotype"/>
          <w:sz w:val="24"/>
          <w:szCs w:val="24"/>
        </w:rPr>
        <w:t>Keberlanjutan eksistensi ditopang oleh Allah.</w:t>
      </w:r>
    </w:p>
    <w:p w14:paraId="00880AAC" w14:textId="77777777" w:rsidR="00F96A48" w:rsidRPr="00F96A48" w:rsidRDefault="00F96A48" w:rsidP="00F96A48">
      <w:pPr>
        <w:numPr>
          <w:ilvl w:val="0"/>
          <w:numId w:val="7"/>
        </w:numPr>
        <w:spacing w:after="0" w:line="240" w:lineRule="auto"/>
        <w:jc w:val="both"/>
        <w:rPr>
          <w:rFonts w:ascii="Palatino Linotype" w:hAnsi="Palatino Linotype"/>
          <w:sz w:val="24"/>
          <w:szCs w:val="24"/>
        </w:rPr>
      </w:pPr>
      <w:r w:rsidRPr="00F96A48">
        <w:rPr>
          <w:rFonts w:ascii="Palatino Linotype" w:hAnsi="Palatino Linotype"/>
          <w:sz w:val="24"/>
          <w:szCs w:val="24"/>
        </w:rPr>
        <w:t>Destinasi akhir ditentukan oleh penghakiman Allah.</w:t>
      </w:r>
    </w:p>
    <w:p w14:paraId="7E0E0960"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Konsekuensinya, segala bentuk spiritualisme populer—seperti keyakinan bahwa jiwa dapat berkeliaran bebas atau berinteraksi secara otonom dengan dunia fisik—tidak memiliki dasar ontologis dalam kerangka teologi injili.</w:t>
      </w:r>
    </w:p>
    <w:p w14:paraId="7B8A9E1C"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Dikotomi menjaga keseimbangan antara dua ekstrem:</w:t>
      </w:r>
    </w:p>
    <w:p w14:paraId="0FE095AE" w14:textId="77777777" w:rsidR="00F96A48" w:rsidRPr="00F96A48" w:rsidRDefault="00F96A48" w:rsidP="00F96A48">
      <w:pPr>
        <w:numPr>
          <w:ilvl w:val="0"/>
          <w:numId w:val="8"/>
        </w:numPr>
        <w:spacing w:after="0" w:line="240" w:lineRule="auto"/>
        <w:jc w:val="both"/>
        <w:rPr>
          <w:rFonts w:ascii="Palatino Linotype" w:hAnsi="Palatino Linotype"/>
          <w:sz w:val="24"/>
          <w:szCs w:val="24"/>
        </w:rPr>
      </w:pPr>
      <w:r w:rsidRPr="00F96A48">
        <w:rPr>
          <w:rFonts w:ascii="Palatino Linotype" w:hAnsi="Palatino Linotype"/>
          <w:b/>
          <w:bCs/>
          <w:sz w:val="24"/>
          <w:szCs w:val="24"/>
        </w:rPr>
        <w:t>Materialisme reduksionistik</w:t>
      </w:r>
      <w:r w:rsidRPr="00F96A48">
        <w:rPr>
          <w:rFonts w:ascii="Palatino Linotype" w:hAnsi="Palatino Linotype"/>
          <w:sz w:val="24"/>
          <w:szCs w:val="24"/>
        </w:rPr>
        <w:t xml:space="preserve"> (manusia hanya organisme biologis).</w:t>
      </w:r>
    </w:p>
    <w:p w14:paraId="35DAF147" w14:textId="77777777" w:rsidR="00F96A48" w:rsidRPr="00F96A48" w:rsidRDefault="00F96A48" w:rsidP="00F96A48">
      <w:pPr>
        <w:numPr>
          <w:ilvl w:val="0"/>
          <w:numId w:val="8"/>
        </w:numPr>
        <w:spacing w:after="0" w:line="240" w:lineRule="auto"/>
        <w:jc w:val="both"/>
        <w:rPr>
          <w:rFonts w:ascii="Palatino Linotype" w:hAnsi="Palatino Linotype"/>
          <w:sz w:val="24"/>
          <w:szCs w:val="24"/>
        </w:rPr>
      </w:pPr>
      <w:r w:rsidRPr="00F96A48">
        <w:rPr>
          <w:rFonts w:ascii="Palatino Linotype" w:hAnsi="Palatino Linotype"/>
          <w:b/>
          <w:bCs/>
          <w:sz w:val="24"/>
          <w:szCs w:val="24"/>
        </w:rPr>
        <w:t>Dualisme Platonik radikal</w:t>
      </w:r>
      <w:r w:rsidRPr="00F96A48">
        <w:rPr>
          <w:rFonts w:ascii="Palatino Linotype" w:hAnsi="Palatino Linotype"/>
          <w:sz w:val="24"/>
          <w:szCs w:val="24"/>
        </w:rPr>
        <w:t xml:space="preserve"> (jiwa sebagai substansi ilahi yang terpenjara dalam tubuh).</w:t>
      </w:r>
    </w:p>
    <w:p w14:paraId="2B670C0F"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Sebagaimana ditekankan oleh Louis Berkhof, manusia dalam Alkitab dipahami sebagai kesatuan integral, bukan dua entitas yang berdiri independen. Maka:</w:t>
      </w:r>
    </w:p>
    <w:p w14:paraId="2B465811" w14:textId="77777777" w:rsidR="00F96A48" w:rsidRPr="00F96A48" w:rsidRDefault="00F96A48" w:rsidP="00F96A48">
      <w:pPr>
        <w:numPr>
          <w:ilvl w:val="0"/>
          <w:numId w:val="9"/>
        </w:numPr>
        <w:spacing w:after="0" w:line="240" w:lineRule="auto"/>
        <w:jc w:val="both"/>
        <w:rPr>
          <w:rFonts w:ascii="Palatino Linotype" w:hAnsi="Palatino Linotype"/>
          <w:sz w:val="24"/>
          <w:szCs w:val="24"/>
        </w:rPr>
      </w:pPr>
      <w:r w:rsidRPr="00F96A48">
        <w:rPr>
          <w:rFonts w:ascii="Palatino Linotype" w:hAnsi="Palatino Linotype"/>
          <w:sz w:val="24"/>
          <w:szCs w:val="24"/>
        </w:rPr>
        <w:t>Tubuh memiliki nilai teologis.</w:t>
      </w:r>
    </w:p>
    <w:p w14:paraId="44AD5BFE" w14:textId="77777777" w:rsidR="00F96A48" w:rsidRPr="00F96A48" w:rsidRDefault="00F96A48" w:rsidP="00F96A48">
      <w:pPr>
        <w:numPr>
          <w:ilvl w:val="0"/>
          <w:numId w:val="9"/>
        </w:numPr>
        <w:spacing w:after="0" w:line="240" w:lineRule="auto"/>
        <w:jc w:val="both"/>
        <w:rPr>
          <w:rFonts w:ascii="Palatino Linotype" w:hAnsi="Palatino Linotype"/>
          <w:sz w:val="24"/>
          <w:szCs w:val="24"/>
        </w:rPr>
      </w:pPr>
      <w:r w:rsidRPr="00F96A48">
        <w:rPr>
          <w:rFonts w:ascii="Palatino Linotype" w:hAnsi="Palatino Linotype"/>
          <w:sz w:val="24"/>
          <w:szCs w:val="24"/>
        </w:rPr>
        <w:t>Jiwa/roh bukan entitas semi-ilahi.</w:t>
      </w:r>
    </w:p>
    <w:p w14:paraId="49AEF49E" w14:textId="77777777" w:rsidR="00F96A48" w:rsidRPr="00F96A48" w:rsidRDefault="00F96A48" w:rsidP="00F96A48">
      <w:pPr>
        <w:numPr>
          <w:ilvl w:val="0"/>
          <w:numId w:val="9"/>
        </w:numPr>
        <w:spacing w:after="0" w:line="240" w:lineRule="auto"/>
        <w:jc w:val="both"/>
        <w:rPr>
          <w:rFonts w:ascii="Palatino Linotype" w:hAnsi="Palatino Linotype"/>
          <w:sz w:val="24"/>
          <w:szCs w:val="24"/>
        </w:rPr>
      </w:pPr>
      <w:r w:rsidRPr="00F96A48">
        <w:rPr>
          <w:rFonts w:ascii="Palatino Linotype" w:hAnsi="Palatino Linotype"/>
          <w:sz w:val="24"/>
          <w:szCs w:val="24"/>
        </w:rPr>
        <w:t>Identitas personal tetap satu sebelum dan sesudah kematian.</w:t>
      </w:r>
    </w:p>
    <w:p w14:paraId="57EB26F7"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Implikasi sistematisnya adalah bahwa keselamatan tidak hanya bersifat spiritual, tetapi mencakup keseluruhan pribadi.</w:t>
      </w:r>
    </w:p>
    <w:p w14:paraId="7342BC33"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Jika jiwa tetap sadar setelah kematian, maka keselamatan memiliki dimensi kontinu antara kehidupan sekarang dan keadaan pasca-kematian.</w:t>
      </w:r>
    </w:p>
    <w:p w14:paraId="623AF500" w14:textId="172FF53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Pandangan ini ditegaskan oleh John Calvin yang menolak doktrin soul sleep dan menegaskan bahwa orang percaya segera berada dalam persekutuan dengan Kristus setelah kematian.</w:t>
      </w:r>
      <w:r w:rsidR="00C60622">
        <w:rPr>
          <w:rFonts w:ascii="Palatino Linotype" w:hAnsi="Palatino Linotype"/>
          <w:sz w:val="24"/>
          <w:szCs w:val="24"/>
        </w:rPr>
        <w:t xml:space="preserve"> </w:t>
      </w:r>
    </w:p>
    <w:p w14:paraId="0AD5E03D"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Implikasinya:</w:t>
      </w:r>
    </w:p>
    <w:p w14:paraId="4A083277" w14:textId="77777777" w:rsidR="00F96A48" w:rsidRPr="00F96A48" w:rsidRDefault="00F96A48" w:rsidP="00F96A48">
      <w:pPr>
        <w:numPr>
          <w:ilvl w:val="0"/>
          <w:numId w:val="10"/>
        </w:numPr>
        <w:spacing w:after="0" w:line="240" w:lineRule="auto"/>
        <w:jc w:val="both"/>
        <w:rPr>
          <w:rFonts w:ascii="Palatino Linotype" w:hAnsi="Palatino Linotype"/>
          <w:sz w:val="24"/>
          <w:szCs w:val="24"/>
        </w:rPr>
      </w:pPr>
      <w:r w:rsidRPr="00F96A48">
        <w:rPr>
          <w:rFonts w:ascii="Palatino Linotype" w:hAnsi="Palatino Linotype"/>
          <w:sz w:val="24"/>
          <w:szCs w:val="24"/>
        </w:rPr>
        <w:t>Keselamatan tidak tertunda sampai kebangkitan, meskipun belum sempurna.</w:t>
      </w:r>
    </w:p>
    <w:p w14:paraId="3784E2D0" w14:textId="77777777" w:rsidR="00F96A48" w:rsidRPr="00F96A48" w:rsidRDefault="00F96A48" w:rsidP="00F96A48">
      <w:pPr>
        <w:numPr>
          <w:ilvl w:val="0"/>
          <w:numId w:val="10"/>
        </w:numPr>
        <w:spacing w:after="0" w:line="240" w:lineRule="auto"/>
        <w:jc w:val="both"/>
        <w:rPr>
          <w:rFonts w:ascii="Palatino Linotype" w:hAnsi="Palatino Linotype"/>
          <w:sz w:val="24"/>
          <w:szCs w:val="24"/>
        </w:rPr>
      </w:pPr>
      <w:r w:rsidRPr="00F96A48">
        <w:rPr>
          <w:rFonts w:ascii="Palatino Linotype" w:hAnsi="Palatino Linotype"/>
          <w:sz w:val="24"/>
          <w:szCs w:val="24"/>
        </w:rPr>
        <w:t>Persekutuan dengan Kristus berlanjut secara sadar.</w:t>
      </w:r>
    </w:p>
    <w:p w14:paraId="7FFE0865" w14:textId="77777777" w:rsidR="00F96A48" w:rsidRPr="00F96A48" w:rsidRDefault="00F96A48" w:rsidP="00F96A48">
      <w:pPr>
        <w:numPr>
          <w:ilvl w:val="0"/>
          <w:numId w:val="10"/>
        </w:numPr>
        <w:spacing w:after="0" w:line="240" w:lineRule="auto"/>
        <w:jc w:val="both"/>
        <w:rPr>
          <w:rFonts w:ascii="Palatino Linotype" w:hAnsi="Palatino Linotype"/>
          <w:sz w:val="24"/>
          <w:szCs w:val="24"/>
        </w:rPr>
      </w:pPr>
      <w:r w:rsidRPr="00F96A48">
        <w:rPr>
          <w:rFonts w:ascii="Palatino Linotype" w:hAnsi="Palatino Linotype"/>
          <w:sz w:val="24"/>
          <w:szCs w:val="24"/>
        </w:rPr>
        <w:t>Pengharapan Kristen bersifat personal dan relasional.</w:t>
      </w:r>
    </w:p>
    <w:p w14:paraId="4F950BCB"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Namun keadaan tersebut bersifat sementara dan belum final.</w:t>
      </w:r>
    </w:p>
    <w:p w14:paraId="23F24363"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Ibrani 9:27 menegaskan kesinambungan antara kematian dan penghakiman. Dalam kerangka ini, intermediate state bukanlah kondisi netral atau kesempatan kedua, melainkan keadaan yang sudah mencerminkan arah final dari penghakiman Allah.</w:t>
      </w:r>
    </w:p>
    <w:p w14:paraId="2010023C"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lastRenderedPageBreak/>
        <w:t>Sebagaimana dijelaskan oleh Anthony A. Hoekema, keadaan sementara tersebut bersifat sadar tetapi belum mencapai kesempurnaan eskatologis.</w:t>
      </w:r>
    </w:p>
    <w:p w14:paraId="21328666"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Dengan demikian:</w:t>
      </w:r>
    </w:p>
    <w:p w14:paraId="2A5ABF4A" w14:textId="77777777" w:rsidR="00F96A48" w:rsidRPr="00F96A48" w:rsidRDefault="00F96A48" w:rsidP="00F96A48">
      <w:pPr>
        <w:numPr>
          <w:ilvl w:val="0"/>
          <w:numId w:val="11"/>
        </w:numPr>
        <w:spacing w:after="0" w:line="240" w:lineRule="auto"/>
        <w:jc w:val="both"/>
        <w:rPr>
          <w:rFonts w:ascii="Palatino Linotype" w:hAnsi="Palatino Linotype"/>
          <w:sz w:val="24"/>
          <w:szCs w:val="24"/>
        </w:rPr>
      </w:pPr>
      <w:r w:rsidRPr="00F96A48">
        <w:rPr>
          <w:rFonts w:ascii="Palatino Linotype" w:hAnsi="Palatino Linotype"/>
          <w:sz w:val="24"/>
          <w:szCs w:val="24"/>
        </w:rPr>
        <w:t>Tidak ada reinkarnasi.</w:t>
      </w:r>
    </w:p>
    <w:p w14:paraId="76693140" w14:textId="77777777" w:rsidR="00F96A48" w:rsidRPr="00F96A48" w:rsidRDefault="00F96A48" w:rsidP="00F96A48">
      <w:pPr>
        <w:numPr>
          <w:ilvl w:val="0"/>
          <w:numId w:val="11"/>
        </w:numPr>
        <w:spacing w:after="0" w:line="240" w:lineRule="auto"/>
        <w:jc w:val="both"/>
        <w:rPr>
          <w:rFonts w:ascii="Palatino Linotype" w:hAnsi="Palatino Linotype"/>
          <w:sz w:val="24"/>
          <w:szCs w:val="24"/>
        </w:rPr>
      </w:pPr>
      <w:r w:rsidRPr="00F96A48">
        <w:rPr>
          <w:rFonts w:ascii="Palatino Linotype" w:hAnsi="Palatino Linotype"/>
          <w:sz w:val="24"/>
          <w:szCs w:val="24"/>
        </w:rPr>
        <w:t>Tidak ada purgatorium dalam kerangka teologi injili.</w:t>
      </w:r>
    </w:p>
    <w:p w14:paraId="3C936D5F" w14:textId="77777777" w:rsidR="00F96A48" w:rsidRPr="00F96A48" w:rsidRDefault="00F96A48" w:rsidP="00F96A48">
      <w:pPr>
        <w:numPr>
          <w:ilvl w:val="0"/>
          <w:numId w:val="11"/>
        </w:numPr>
        <w:spacing w:after="0" w:line="240" w:lineRule="auto"/>
        <w:jc w:val="both"/>
        <w:rPr>
          <w:rFonts w:ascii="Palatino Linotype" w:hAnsi="Palatino Linotype"/>
          <w:sz w:val="24"/>
          <w:szCs w:val="24"/>
        </w:rPr>
      </w:pPr>
      <w:r w:rsidRPr="00F96A48">
        <w:rPr>
          <w:rFonts w:ascii="Palatino Linotype" w:hAnsi="Palatino Linotype"/>
          <w:sz w:val="24"/>
          <w:szCs w:val="24"/>
        </w:rPr>
        <w:t>Tidak ada peluang pertobatan setelah kematian.</w:t>
      </w:r>
    </w:p>
    <w:p w14:paraId="7ED79892"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Identitas moral manusia tetap utuh sampai kebangkitan.</w:t>
      </w:r>
    </w:p>
    <w:p w14:paraId="300508AF"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Salah satu risiko dari penekanan berlebihan pada intermediate state adalah mereduksi pentingnya kebangkitan tubuh. Namun dikotomi yang sehat justru memperkuat doktrin kebangkitan.</w:t>
      </w:r>
    </w:p>
    <w:p w14:paraId="4C2AEDED"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Wayne Grudem menekankan bahwa keberadaan sadar jiwa setelah kematian tidak meniadakan sentralitas kebangkitan tubuh, sebab:</w:t>
      </w:r>
    </w:p>
    <w:p w14:paraId="25F67A76" w14:textId="77777777" w:rsidR="00F96A48" w:rsidRPr="00F96A48" w:rsidRDefault="00F96A48" w:rsidP="00F96A48">
      <w:pPr>
        <w:numPr>
          <w:ilvl w:val="0"/>
          <w:numId w:val="12"/>
        </w:numPr>
        <w:spacing w:after="0" w:line="240" w:lineRule="auto"/>
        <w:jc w:val="both"/>
        <w:rPr>
          <w:rFonts w:ascii="Palatino Linotype" w:hAnsi="Palatino Linotype"/>
          <w:sz w:val="24"/>
          <w:szCs w:val="24"/>
        </w:rPr>
      </w:pPr>
      <w:r w:rsidRPr="00F96A48">
        <w:rPr>
          <w:rFonts w:ascii="Palatino Linotype" w:hAnsi="Palatino Linotype"/>
          <w:sz w:val="24"/>
          <w:szCs w:val="24"/>
        </w:rPr>
        <w:t>Keadaan tanpa tubuh adalah tidak lengkap.</w:t>
      </w:r>
    </w:p>
    <w:p w14:paraId="7BC4C0C7" w14:textId="77777777" w:rsidR="00F96A48" w:rsidRPr="00F96A48" w:rsidRDefault="00F96A48" w:rsidP="00F96A48">
      <w:pPr>
        <w:numPr>
          <w:ilvl w:val="0"/>
          <w:numId w:val="12"/>
        </w:numPr>
        <w:spacing w:after="0" w:line="240" w:lineRule="auto"/>
        <w:jc w:val="both"/>
        <w:rPr>
          <w:rFonts w:ascii="Palatino Linotype" w:hAnsi="Palatino Linotype"/>
          <w:sz w:val="24"/>
          <w:szCs w:val="24"/>
        </w:rPr>
      </w:pPr>
      <w:r w:rsidRPr="00F96A48">
        <w:rPr>
          <w:rFonts w:ascii="Palatino Linotype" w:hAnsi="Palatino Linotype"/>
          <w:sz w:val="24"/>
          <w:szCs w:val="24"/>
        </w:rPr>
        <w:t>Kesempurnaan manusia menuntut pemulihan tubuh.</w:t>
      </w:r>
    </w:p>
    <w:p w14:paraId="4624902C" w14:textId="77777777" w:rsidR="00F96A48" w:rsidRPr="00F96A48" w:rsidRDefault="00F96A48" w:rsidP="00F96A48">
      <w:pPr>
        <w:numPr>
          <w:ilvl w:val="0"/>
          <w:numId w:val="12"/>
        </w:numPr>
        <w:spacing w:after="0" w:line="240" w:lineRule="auto"/>
        <w:jc w:val="both"/>
        <w:rPr>
          <w:rFonts w:ascii="Palatino Linotype" w:hAnsi="Palatino Linotype"/>
          <w:sz w:val="24"/>
          <w:szCs w:val="24"/>
        </w:rPr>
      </w:pPr>
      <w:r w:rsidRPr="00F96A48">
        <w:rPr>
          <w:rFonts w:ascii="Palatino Linotype" w:hAnsi="Palatino Linotype"/>
          <w:sz w:val="24"/>
          <w:szCs w:val="24"/>
        </w:rPr>
        <w:t>Eskatologi Kristen bersifat holistik.</w:t>
      </w:r>
    </w:p>
    <w:p w14:paraId="03BBC7D2"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Dengan demikian, tujuan akhir bukanlah keberadaan jiwa tanpa tubuh, melainkan kebangkitan tubuh dalam kemuliaan.</w:t>
      </w:r>
    </w:p>
    <w:p w14:paraId="55ED82FA"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Dalam konteks pastoral, doktrin ini memberikan penghiburan yang kokoh:</w:t>
      </w:r>
    </w:p>
    <w:p w14:paraId="13C699CC" w14:textId="77777777" w:rsidR="00F96A48" w:rsidRPr="00F96A48" w:rsidRDefault="00F96A48" w:rsidP="00F96A48">
      <w:pPr>
        <w:numPr>
          <w:ilvl w:val="0"/>
          <w:numId w:val="13"/>
        </w:numPr>
        <w:spacing w:after="0" w:line="240" w:lineRule="auto"/>
        <w:jc w:val="both"/>
        <w:rPr>
          <w:rFonts w:ascii="Palatino Linotype" w:hAnsi="Palatino Linotype"/>
          <w:sz w:val="24"/>
          <w:szCs w:val="24"/>
        </w:rPr>
      </w:pPr>
      <w:r w:rsidRPr="00F96A48">
        <w:rPr>
          <w:rFonts w:ascii="Palatino Linotype" w:hAnsi="Palatino Linotype"/>
          <w:sz w:val="24"/>
          <w:szCs w:val="24"/>
        </w:rPr>
        <w:t>Orang percaya yang meninggal tidak lenyap.</w:t>
      </w:r>
    </w:p>
    <w:p w14:paraId="4506ECF1" w14:textId="77777777" w:rsidR="00F96A48" w:rsidRPr="00F96A48" w:rsidRDefault="00F96A48" w:rsidP="00F96A48">
      <w:pPr>
        <w:numPr>
          <w:ilvl w:val="0"/>
          <w:numId w:val="13"/>
        </w:numPr>
        <w:spacing w:after="0" w:line="240" w:lineRule="auto"/>
        <w:jc w:val="both"/>
        <w:rPr>
          <w:rFonts w:ascii="Palatino Linotype" w:hAnsi="Palatino Linotype"/>
          <w:sz w:val="24"/>
          <w:szCs w:val="24"/>
        </w:rPr>
      </w:pPr>
      <w:r w:rsidRPr="00F96A48">
        <w:rPr>
          <w:rFonts w:ascii="Palatino Linotype" w:hAnsi="Palatino Linotype"/>
          <w:sz w:val="24"/>
          <w:szCs w:val="24"/>
        </w:rPr>
        <w:t>Mereka tidak berada dalam kegelapan tanpa kesadaran.</w:t>
      </w:r>
    </w:p>
    <w:p w14:paraId="35BCBE7B" w14:textId="77777777" w:rsidR="00F96A48" w:rsidRPr="00F96A48" w:rsidRDefault="00F96A48" w:rsidP="00F96A48">
      <w:pPr>
        <w:numPr>
          <w:ilvl w:val="0"/>
          <w:numId w:val="13"/>
        </w:numPr>
        <w:spacing w:after="0" w:line="240" w:lineRule="auto"/>
        <w:jc w:val="both"/>
        <w:rPr>
          <w:rFonts w:ascii="Palatino Linotype" w:hAnsi="Palatino Linotype"/>
          <w:sz w:val="24"/>
          <w:szCs w:val="24"/>
        </w:rPr>
      </w:pPr>
      <w:r w:rsidRPr="00F96A48">
        <w:rPr>
          <w:rFonts w:ascii="Palatino Linotype" w:hAnsi="Palatino Linotype"/>
          <w:sz w:val="24"/>
          <w:szCs w:val="24"/>
        </w:rPr>
        <w:t>Mereka berada dalam kedaulatan Allah.</w:t>
      </w:r>
    </w:p>
    <w:p w14:paraId="24E441DD"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Secara apologetis, doktrin ini juga menolak:</w:t>
      </w:r>
    </w:p>
    <w:p w14:paraId="63BF7235" w14:textId="77777777" w:rsidR="00F96A48" w:rsidRPr="00F96A48" w:rsidRDefault="00F96A48" w:rsidP="00F96A48">
      <w:pPr>
        <w:numPr>
          <w:ilvl w:val="0"/>
          <w:numId w:val="14"/>
        </w:numPr>
        <w:spacing w:after="0" w:line="240" w:lineRule="auto"/>
        <w:jc w:val="both"/>
        <w:rPr>
          <w:rFonts w:ascii="Palatino Linotype" w:hAnsi="Palatino Linotype"/>
          <w:sz w:val="24"/>
          <w:szCs w:val="24"/>
        </w:rPr>
      </w:pPr>
      <w:r w:rsidRPr="00F96A48">
        <w:rPr>
          <w:rFonts w:ascii="Palatino Linotype" w:hAnsi="Palatino Linotype"/>
          <w:sz w:val="24"/>
          <w:szCs w:val="24"/>
        </w:rPr>
        <w:t>Spiritisme dan praktik komunikasi dengan arwah.</w:t>
      </w:r>
    </w:p>
    <w:p w14:paraId="428D3A90" w14:textId="77777777" w:rsidR="00F96A48" w:rsidRPr="00F96A48" w:rsidRDefault="00F96A48" w:rsidP="00F96A48">
      <w:pPr>
        <w:numPr>
          <w:ilvl w:val="0"/>
          <w:numId w:val="14"/>
        </w:numPr>
        <w:spacing w:after="0" w:line="240" w:lineRule="auto"/>
        <w:jc w:val="both"/>
        <w:rPr>
          <w:rFonts w:ascii="Palatino Linotype" w:hAnsi="Palatino Linotype"/>
          <w:sz w:val="24"/>
          <w:szCs w:val="24"/>
        </w:rPr>
      </w:pPr>
      <w:r w:rsidRPr="00F96A48">
        <w:rPr>
          <w:rFonts w:ascii="Palatino Linotype" w:hAnsi="Palatino Linotype"/>
          <w:sz w:val="24"/>
          <w:szCs w:val="24"/>
        </w:rPr>
        <w:t>Kepercayaan tentang jiwa gentayangan.</w:t>
      </w:r>
    </w:p>
    <w:p w14:paraId="3F0C81F3" w14:textId="77777777" w:rsidR="00F96A48" w:rsidRPr="00F96A48" w:rsidRDefault="00F96A48" w:rsidP="00F96A48">
      <w:pPr>
        <w:numPr>
          <w:ilvl w:val="0"/>
          <w:numId w:val="14"/>
        </w:numPr>
        <w:spacing w:after="0" w:line="240" w:lineRule="auto"/>
        <w:jc w:val="both"/>
        <w:rPr>
          <w:rFonts w:ascii="Palatino Linotype" w:hAnsi="Palatino Linotype"/>
          <w:sz w:val="24"/>
          <w:szCs w:val="24"/>
        </w:rPr>
      </w:pPr>
      <w:r w:rsidRPr="00F96A48">
        <w:rPr>
          <w:rFonts w:ascii="Palatino Linotype" w:hAnsi="Palatino Linotype"/>
          <w:sz w:val="24"/>
          <w:szCs w:val="24"/>
        </w:rPr>
        <w:t>Sinkretisme antara iman Kristen dan mistisisme lokal.</w:t>
      </w:r>
    </w:p>
    <w:p w14:paraId="5DE226BC" w14:textId="77777777" w:rsidR="00F96A48" w:rsidRPr="00F96A48" w:rsidRDefault="00F96A48" w:rsidP="00F96A48">
      <w:pPr>
        <w:spacing w:after="0" w:line="240" w:lineRule="auto"/>
        <w:jc w:val="both"/>
        <w:rPr>
          <w:rFonts w:ascii="Palatino Linotype" w:hAnsi="Palatino Linotype"/>
          <w:sz w:val="24"/>
          <w:szCs w:val="24"/>
        </w:rPr>
      </w:pPr>
      <w:r w:rsidRPr="00F96A48">
        <w:rPr>
          <w:rFonts w:ascii="Palatino Linotype" w:hAnsi="Palatino Linotype"/>
          <w:sz w:val="24"/>
          <w:szCs w:val="24"/>
        </w:rPr>
        <w:t>Kerangka ini menjaga kemurnian iman injili sekaligus memberikan dasar teologis yang rasional dan konsisten.</w:t>
      </w:r>
    </w:p>
    <w:p w14:paraId="47F4E3DF" w14:textId="77777777" w:rsidR="00F96A48" w:rsidRDefault="00F96A48" w:rsidP="00F96A48">
      <w:pPr>
        <w:spacing w:after="0" w:line="240" w:lineRule="auto"/>
        <w:jc w:val="both"/>
        <w:rPr>
          <w:rFonts w:ascii="Palatino Linotype" w:hAnsi="Palatino Linotype"/>
          <w:sz w:val="24"/>
          <w:szCs w:val="24"/>
          <w:lang w:val="en-US"/>
        </w:rPr>
      </w:pPr>
      <w:r w:rsidRPr="00F96A48">
        <w:rPr>
          <w:rFonts w:ascii="Palatino Linotype" w:hAnsi="Palatino Linotype"/>
          <w:sz w:val="24"/>
          <w:szCs w:val="24"/>
          <w:lang w:val="en-US"/>
        </w:rPr>
        <w:t>Dengan demikian, antropologi dikotomis menyediakan kerangka yang stabil, alkitabiah, dan konsisten untuk memahami keberlanjutan eksistensi manusia setelah kematian tanpa terjebak dalam dualisme ekstrem maupun reduksionisme materialistik.</w:t>
      </w:r>
    </w:p>
    <w:p w14:paraId="5CBA5C2B" w14:textId="77777777" w:rsidR="00F96A48" w:rsidRPr="00F96A48" w:rsidRDefault="00F96A48" w:rsidP="00F96A48">
      <w:pPr>
        <w:spacing w:after="0" w:line="240" w:lineRule="auto"/>
        <w:rPr>
          <w:rFonts w:ascii="Palatino Linotype" w:hAnsi="Palatino Linotype"/>
          <w:sz w:val="24"/>
          <w:szCs w:val="24"/>
          <w:lang w:val="en-US"/>
        </w:rPr>
      </w:pPr>
    </w:p>
    <w:p w14:paraId="12AA55C9" w14:textId="27F757D0" w:rsidR="007704FA" w:rsidRPr="00A525A8" w:rsidRDefault="007704FA" w:rsidP="007704FA">
      <w:pPr>
        <w:spacing w:after="0" w:line="240" w:lineRule="auto"/>
        <w:rPr>
          <w:rFonts w:ascii="Palatino Linotype" w:hAnsi="Palatino Linotype"/>
          <w:b/>
          <w:sz w:val="26"/>
          <w:szCs w:val="26"/>
          <w:lang w:val="en-US"/>
        </w:rPr>
      </w:pPr>
      <w:r w:rsidRPr="00A525A8">
        <w:rPr>
          <w:rFonts w:ascii="Palatino Linotype" w:hAnsi="Palatino Linotype"/>
          <w:b/>
          <w:sz w:val="26"/>
          <w:szCs w:val="26"/>
          <w:lang w:val="en-US"/>
        </w:rPr>
        <w:t>Kesimpulan</w:t>
      </w:r>
    </w:p>
    <w:p w14:paraId="5C5CAC69" w14:textId="77777777" w:rsidR="007151A1" w:rsidRPr="007151A1" w:rsidRDefault="007151A1" w:rsidP="007151A1">
      <w:pPr>
        <w:spacing w:after="0" w:line="240" w:lineRule="auto"/>
        <w:ind w:firstLine="1080"/>
        <w:jc w:val="both"/>
        <w:rPr>
          <w:rFonts w:ascii="Palatino Linotype" w:hAnsi="Palatino Linotype"/>
          <w:sz w:val="24"/>
          <w:szCs w:val="24"/>
        </w:rPr>
      </w:pPr>
      <w:r w:rsidRPr="007151A1">
        <w:rPr>
          <w:rFonts w:ascii="Palatino Linotype" w:hAnsi="Palatino Linotype"/>
          <w:sz w:val="24"/>
          <w:szCs w:val="24"/>
        </w:rPr>
        <w:t>Kajian ini telah menelusuri perdebatan mengenai struktur ontologis manusia—dikotomi dan trikotomi—melalui pendekatan eksegetis, historis, dan sistematis dalam perspektif teologi Injili. Berdasarkan analisis terhadap teks-teks kunci Perjanjian Lama dan Perjanjian Baru, serta dialog dengan tradisi teologi Reformed klasik dan kontemporer, dapat dirumuskan beberapa kesimpulan utama.</w:t>
      </w:r>
    </w:p>
    <w:p w14:paraId="6A4F1CC5" w14:textId="77777777" w:rsidR="007151A1" w:rsidRPr="007151A1" w:rsidRDefault="007151A1" w:rsidP="007151A1">
      <w:pPr>
        <w:spacing w:after="0" w:line="240" w:lineRule="auto"/>
        <w:ind w:firstLine="1080"/>
        <w:jc w:val="both"/>
        <w:rPr>
          <w:rFonts w:ascii="Palatino Linotype" w:hAnsi="Palatino Linotype"/>
          <w:sz w:val="24"/>
          <w:szCs w:val="24"/>
        </w:rPr>
      </w:pPr>
      <w:r w:rsidRPr="007151A1">
        <w:rPr>
          <w:rFonts w:ascii="Palatino Linotype" w:hAnsi="Palatino Linotype"/>
          <w:sz w:val="24"/>
          <w:szCs w:val="24"/>
        </w:rPr>
        <w:t xml:space="preserve">Pertama, secara eksegetis, Alkitab lebih konsisten mendukung pemahaman dikotomis daripada trikotomis. Teks seperti Kejadian 2:7 dan </w:t>
      </w:r>
      <w:r w:rsidRPr="007151A1">
        <w:rPr>
          <w:rFonts w:ascii="Palatino Linotype" w:hAnsi="Palatino Linotype"/>
          <w:sz w:val="24"/>
          <w:szCs w:val="24"/>
        </w:rPr>
        <w:lastRenderedPageBreak/>
        <w:t>Pengkhotbah 12:7 menunjukkan adanya pembedaan antara unsur material dan immaterial, namun tidak mengajarkan pembagian tiga substansi ontologis yang terpisah. Dalam Perjanjian Baru, penggunaan istilah psyche dan pneuma sering kali bersifat paralel dan fleksibel (misalnya Lukas 1:46–47), sehingga tidak membentuk pola konseptual yang konsisten untuk mendukung trikotomi ontologis. Teks yang kerap dijadikan dasar trikotomi, seperti 1 Tesalonika 5:23 dan Ibrani 4:12, lebih tepat dipahami dalam kerangka retoris dan totalitas antropologis, bukan sebagai pernyataan metafisik sistematis.</w:t>
      </w:r>
    </w:p>
    <w:p w14:paraId="780FAF98" w14:textId="77777777" w:rsidR="007151A1" w:rsidRPr="007151A1" w:rsidRDefault="007151A1" w:rsidP="007151A1">
      <w:pPr>
        <w:spacing w:after="0" w:line="240" w:lineRule="auto"/>
        <w:ind w:firstLine="1080"/>
        <w:jc w:val="both"/>
        <w:rPr>
          <w:rFonts w:ascii="Palatino Linotype" w:hAnsi="Palatino Linotype"/>
          <w:sz w:val="24"/>
          <w:szCs w:val="24"/>
        </w:rPr>
      </w:pPr>
      <w:r w:rsidRPr="007151A1">
        <w:rPr>
          <w:rFonts w:ascii="Palatino Linotype" w:hAnsi="Palatino Linotype"/>
          <w:sz w:val="24"/>
          <w:szCs w:val="24"/>
        </w:rPr>
        <w:t>Kedua, secara historis, memang terdapat variasi terminologi di kalangan Bapa Gereja, termasuk kecenderungan trikotomis dalam pemikiran Origen. Namun arus utama teologi Barat, terutama melalui Agustinus dan kemudian ditegaskan dalam tradisi Reformasi, mengerucut pada dikotomi dengan penekanan kuat pada kesatuan pribadi manusia. Tradisi Reformed klasik—sebagaimana dirumuskan oleh Calvin, Berkhof, Bavinck, dan dikembangkan lebih lanjut oleh teolog modern seperti Grudem dan Hoekema—menjaga keseimbangan antara pembedaan nyata aspek material dan immaterial, serta penolakan terhadap spekulasi metafisik yang melampaui kesaksian Kitab Suci.</w:t>
      </w:r>
    </w:p>
    <w:p w14:paraId="0CD047FE" w14:textId="77777777" w:rsidR="007151A1" w:rsidRPr="007151A1" w:rsidRDefault="007151A1" w:rsidP="007151A1">
      <w:pPr>
        <w:spacing w:after="0" w:line="240" w:lineRule="auto"/>
        <w:ind w:firstLine="1080"/>
        <w:jc w:val="both"/>
        <w:rPr>
          <w:rFonts w:ascii="Palatino Linotype" w:hAnsi="Palatino Linotype"/>
          <w:sz w:val="24"/>
          <w:szCs w:val="24"/>
        </w:rPr>
      </w:pPr>
      <w:r w:rsidRPr="007151A1">
        <w:rPr>
          <w:rFonts w:ascii="Palatino Linotype" w:hAnsi="Palatino Linotype"/>
          <w:sz w:val="24"/>
          <w:szCs w:val="24"/>
        </w:rPr>
        <w:t>Ketiga, secara sistematis dan eskatologis, posisi dikotomi menyediakan kerangka teologis yang lebih stabil untuk memahami keadaan jiwa setelah kematian. Jiwa/roh dipahami tetap sadar dalam keadaan intermediate state, berada di bawah kedaulatan Allah, dan menantikan kebangkitan tubuh. Pandangan ini menolak baik doktrin soul sleep maupun spekulasi tentang jiwa yang berkeliaran atau berinteraksi secara otonom dengan dunia orang hidup. Keberlanjutan eksistensi personal setelah kematian tidak mengarah pada dualisme Platonik, sebab pengharapan Kristen tetap berpusat pada kebangkitan tubuh dan pemulihan ciptaan secara holistik.</w:t>
      </w:r>
    </w:p>
    <w:p w14:paraId="2D6692CC" w14:textId="77777777" w:rsidR="007151A1" w:rsidRPr="007151A1" w:rsidRDefault="007151A1" w:rsidP="007151A1">
      <w:pPr>
        <w:spacing w:after="0" w:line="240" w:lineRule="auto"/>
        <w:ind w:firstLine="1080"/>
        <w:jc w:val="both"/>
        <w:rPr>
          <w:rFonts w:ascii="Palatino Linotype" w:hAnsi="Palatino Linotype"/>
          <w:sz w:val="24"/>
          <w:szCs w:val="24"/>
        </w:rPr>
      </w:pPr>
      <w:r w:rsidRPr="007151A1">
        <w:rPr>
          <w:rFonts w:ascii="Palatino Linotype" w:hAnsi="Palatino Linotype"/>
          <w:sz w:val="24"/>
          <w:szCs w:val="24"/>
        </w:rPr>
        <w:t>Keempat, implikasi teologisnya menegaskan bahwa manusia adalah kesatuan organis yang sepenuhnya bergantung pada Allah. Kehidupan berasal dari Allah, dipelihara oleh Allah, dan kembali kepada Allah. Tidak ada otonomi ontologis, baik bagi tubuh maupun bagi jiwa/roh. Keselamatan mencakup keseluruhan pribadi dan mencapai kepenuhannya dalam kebangkitan tubuh pada akhir zaman.</w:t>
      </w:r>
    </w:p>
    <w:p w14:paraId="531A6670" w14:textId="77777777" w:rsidR="007151A1" w:rsidRPr="007151A1" w:rsidRDefault="007151A1" w:rsidP="007151A1">
      <w:pPr>
        <w:spacing w:after="0" w:line="240" w:lineRule="auto"/>
        <w:ind w:firstLine="1080"/>
        <w:jc w:val="both"/>
        <w:rPr>
          <w:rFonts w:ascii="Palatino Linotype" w:hAnsi="Palatino Linotype"/>
          <w:sz w:val="24"/>
          <w:szCs w:val="24"/>
        </w:rPr>
      </w:pPr>
      <w:r w:rsidRPr="007151A1">
        <w:rPr>
          <w:rFonts w:ascii="Palatino Linotype" w:hAnsi="Palatino Linotype"/>
          <w:sz w:val="24"/>
          <w:szCs w:val="24"/>
        </w:rPr>
        <w:t>Dengan demikian, dapat ditegaskan bahwa antropologi dikotomis—dipahami secara organik dan non-dualistik—lebih selaras dengan keseluruhan kesaksian Alkitab dan tradisi teologi Injili. Pandangan ini menjaga integritas kesatuan manusia, menolak ekstrem materialisme dan dualisme radikal, serta memberikan dasar eskatologis yang kokoh bagi pengharapan Kristen. Pada akhirnya, diskursus mengenai natur manusia bukan sekadar perdebatan terminologis, melainkan fondasi penting bagi pemahaman tentang keselamatan, penghakiman, dan kemuliaan eskatologis yang dijanjikan Allah kepada umat-Nya.</w:t>
      </w:r>
    </w:p>
    <w:p w14:paraId="2A8E2755" w14:textId="56F09277" w:rsidR="007151A1" w:rsidRDefault="007151A1">
      <w:pPr>
        <w:rPr>
          <w:rFonts w:ascii="Palatino Linotype" w:hAnsi="Palatino Linotype"/>
          <w:lang w:val="en-US"/>
        </w:rPr>
      </w:pPr>
      <w:r>
        <w:rPr>
          <w:rFonts w:ascii="Palatino Linotype" w:hAnsi="Palatino Linotype"/>
          <w:lang w:val="en-US"/>
        </w:rPr>
        <w:br w:type="page"/>
      </w:r>
    </w:p>
    <w:p w14:paraId="662FB924" w14:textId="77777777" w:rsidR="007704FA" w:rsidRPr="00A525A8" w:rsidRDefault="007704FA" w:rsidP="007704FA">
      <w:pPr>
        <w:spacing w:after="0" w:line="240" w:lineRule="auto"/>
        <w:ind w:firstLine="1080"/>
        <w:rPr>
          <w:rFonts w:ascii="Palatino Linotype" w:hAnsi="Palatino Linotype"/>
          <w:lang w:val="en-US"/>
        </w:rPr>
      </w:pPr>
    </w:p>
    <w:p w14:paraId="2A87BB0D" w14:textId="31FA9B5A" w:rsidR="007704FA" w:rsidRPr="00A525A8" w:rsidRDefault="007704FA" w:rsidP="007704FA">
      <w:pPr>
        <w:spacing w:after="0" w:line="240" w:lineRule="auto"/>
        <w:rPr>
          <w:rFonts w:ascii="Palatino Linotype" w:hAnsi="Palatino Linotype"/>
          <w:b/>
          <w:sz w:val="26"/>
          <w:szCs w:val="26"/>
          <w:lang w:val="en-US"/>
        </w:rPr>
      </w:pPr>
      <w:r>
        <w:rPr>
          <w:rFonts w:ascii="Palatino Linotype" w:hAnsi="Palatino Linotype"/>
          <w:b/>
          <w:sz w:val="26"/>
          <w:szCs w:val="26"/>
          <w:lang w:val="en-US"/>
        </w:rPr>
        <w:t xml:space="preserve">Referensi </w:t>
      </w:r>
    </w:p>
    <w:p w14:paraId="4745D70C" w14:textId="77777777" w:rsidR="009B39BE" w:rsidRPr="009B39BE" w:rsidRDefault="009B39BE" w:rsidP="009B39BE">
      <w:pPr>
        <w:spacing w:after="0" w:line="240" w:lineRule="auto"/>
        <w:ind w:left="1077" w:hanging="1077"/>
        <w:jc w:val="both"/>
        <w:rPr>
          <w:rFonts w:ascii="Palatino Linotype" w:hAnsi="Palatino Linotype"/>
          <w:sz w:val="24"/>
          <w:szCs w:val="24"/>
        </w:rPr>
      </w:pPr>
      <w:r w:rsidRPr="009B39BE">
        <w:rPr>
          <w:rFonts w:ascii="Palatino Linotype" w:hAnsi="Palatino Linotype"/>
          <w:sz w:val="24"/>
          <w:szCs w:val="24"/>
        </w:rPr>
        <w:t xml:space="preserve">Augustine of Hippo. </w:t>
      </w:r>
      <w:r w:rsidRPr="009B39BE">
        <w:rPr>
          <w:rFonts w:ascii="Palatino Linotype" w:hAnsi="Palatino Linotype"/>
          <w:i/>
          <w:iCs/>
          <w:sz w:val="24"/>
          <w:szCs w:val="24"/>
        </w:rPr>
        <w:t xml:space="preserve">The City of God. </w:t>
      </w:r>
      <w:r w:rsidRPr="009B39BE">
        <w:rPr>
          <w:rFonts w:ascii="Palatino Linotype" w:hAnsi="Palatino Linotype"/>
          <w:sz w:val="24"/>
          <w:szCs w:val="24"/>
        </w:rPr>
        <w:t xml:space="preserve">In </w:t>
      </w:r>
      <w:r w:rsidRPr="009B39BE">
        <w:rPr>
          <w:rFonts w:ascii="Palatino Linotype" w:hAnsi="Palatino Linotype"/>
          <w:i/>
          <w:iCs/>
          <w:sz w:val="24"/>
          <w:szCs w:val="24"/>
        </w:rPr>
        <w:t xml:space="preserve">Nicene and Post-Nicene Fathres, </w:t>
      </w:r>
      <w:r w:rsidRPr="009B39BE">
        <w:rPr>
          <w:rFonts w:ascii="Palatino Linotype" w:hAnsi="Palatino Linotype"/>
          <w:sz w:val="24"/>
          <w:szCs w:val="24"/>
        </w:rPr>
        <w:t>First Series, vol. 2. Ed, Philip Schaff. Peabdy, MA: Hendrickson, 1994.</w:t>
      </w:r>
    </w:p>
    <w:p w14:paraId="5D57C71E" w14:textId="77777777" w:rsidR="009B39BE" w:rsidRPr="009B39BE" w:rsidRDefault="009B39BE" w:rsidP="009B39BE">
      <w:pPr>
        <w:spacing w:after="0" w:line="240" w:lineRule="auto"/>
        <w:ind w:left="1077" w:hanging="1077"/>
        <w:jc w:val="both"/>
        <w:rPr>
          <w:rFonts w:ascii="Palatino Linotype" w:hAnsi="Palatino Linotype"/>
          <w:sz w:val="24"/>
          <w:szCs w:val="24"/>
        </w:rPr>
      </w:pPr>
      <w:r w:rsidRPr="009B39BE">
        <w:rPr>
          <w:rFonts w:ascii="Palatino Linotype" w:hAnsi="Palatino Linotype"/>
          <w:sz w:val="24"/>
          <w:szCs w:val="24"/>
        </w:rPr>
        <w:t xml:space="preserve">Bavinck, Herman. </w:t>
      </w:r>
      <w:r w:rsidRPr="009B39BE">
        <w:rPr>
          <w:rFonts w:ascii="Palatino Linotype" w:hAnsi="Palatino Linotype"/>
          <w:i/>
          <w:iCs/>
          <w:sz w:val="24"/>
          <w:szCs w:val="24"/>
        </w:rPr>
        <w:t xml:space="preserve">Reformend Dogmatics, </w:t>
      </w:r>
      <w:r w:rsidRPr="009B39BE">
        <w:rPr>
          <w:rFonts w:ascii="Palatino Linotype" w:hAnsi="Palatino Linotype"/>
          <w:sz w:val="24"/>
          <w:szCs w:val="24"/>
        </w:rPr>
        <w:t>Vol.2. Grand Rapids: Baker, 2004.</w:t>
      </w:r>
    </w:p>
    <w:p w14:paraId="0B7EA8FC" w14:textId="77777777" w:rsidR="009B39BE" w:rsidRPr="009B39BE" w:rsidRDefault="009B39BE" w:rsidP="009B39BE">
      <w:pPr>
        <w:spacing w:after="0" w:line="240" w:lineRule="auto"/>
        <w:ind w:left="1077" w:hanging="1077"/>
        <w:jc w:val="both"/>
        <w:rPr>
          <w:rFonts w:ascii="Palatino Linotype" w:hAnsi="Palatino Linotype"/>
          <w:sz w:val="24"/>
          <w:szCs w:val="24"/>
        </w:rPr>
      </w:pPr>
      <w:r w:rsidRPr="009B39BE">
        <w:rPr>
          <w:rFonts w:ascii="Palatino Linotype" w:hAnsi="Palatino Linotype"/>
          <w:sz w:val="24"/>
          <w:szCs w:val="24"/>
        </w:rPr>
        <w:t xml:space="preserve">Berkhof, Louis. </w:t>
      </w:r>
      <w:r w:rsidRPr="009B39BE">
        <w:rPr>
          <w:rFonts w:ascii="Palatino Linotype" w:hAnsi="Palatino Linotype"/>
          <w:i/>
          <w:iCs/>
          <w:sz w:val="24"/>
          <w:szCs w:val="24"/>
        </w:rPr>
        <w:t xml:space="preserve">Systematic Theology. </w:t>
      </w:r>
      <w:r w:rsidRPr="009B39BE">
        <w:rPr>
          <w:rFonts w:ascii="Palatino Linotype" w:hAnsi="Palatino Linotype"/>
          <w:sz w:val="24"/>
          <w:szCs w:val="24"/>
        </w:rPr>
        <w:t>Grand Rapids: Eerdmans, 1938.</w:t>
      </w:r>
    </w:p>
    <w:p w14:paraId="15259248" w14:textId="77777777" w:rsidR="009B39BE" w:rsidRPr="009B39BE" w:rsidRDefault="009B39BE" w:rsidP="009B39BE">
      <w:pPr>
        <w:spacing w:after="0" w:line="240" w:lineRule="auto"/>
        <w:ind w:left="1077" w:hanging="1077"/>
        <w:jc w:val="both"/>
        <w:rPr>
          <w:rFonts w:ascii="Palatino Linotype" w:hAnsi="Palatino Linotype"/>
          <w:sz w:val="24"/>
          <w:szCs w:val="24"/>
        </w:rPr>
      </w:pPr>
      <w:r w:rsidRPr="009B39BE">
        <w:rPr>
          <w:rFonts w:ascii="Palatino Linotype" w:hAnsi="Palatino Linotype"/>
          <w:sz w:val="24"/>
          <w:szCs w:val="24"/>
        </w:rPr>
        <w:t xml:space="preserve">Calvin, John. </w:t>
      </w:r>
      <w:r w:rsidRPr="009B39BE">
        <w:rPr>
          <w:rFonts w:ascii="Palatino Linotype" w:hAnsi="Palatino Linotype"/>
          <w:i/>
          <w:iCs/>
          <w:sz w:val="24"/>
          <w:szCs w:val="24"/>
        </w:rPr>
        <w:t xml:space="preserve">Institutes of the Christian Religion. </w:t>
      </w:r>
      <w:r w:rsidRPr="009B39BE">
        <w:rPr>
          <w:rFonts w:ascii="Palatino Linotype" w:hAnsi="Palatino Linotype"/>
          <w:sz w:val="24"/>
          <w:szCs w:val="24"/>
        </w:rPr>
        <w:t>Translated by Henry Beveridge. Peabody, MA: Hendrickson, 2008.</w:t>
      </w:r>
    </w:p>
    <w:p w14:paraId="5D69999D" w14:textId="77777777" w:rsidR="009B39BE" w:rsidRPr="009B39BE" w:rsidRDefault="009B39BE" w:rsidP="009B39BE">
      <w:pPr>
        <w:spacing w:after="0" w:line="240" w:lineRule="auto"/>
        <w:ind w:left="1077" w:hanging="1077"/>
        <w:jc w:val="both"/>
        <w:rPr>
          <w:rFonts w:ascii="Palatino Linotype" w:hAnsi="Palatino Linotype"/>
          <w:sz w:val="24"/>
          <w:szCs w:val="24"/>
        </w:rPr>
      </w:pPr>
      <w:r w:rsidRPr="009B39BE">
        <w:rPr>
          <w:rFonts w:ascii="Palatino Linotype" w:hAnsi="Palatino Linotype"/>
          <w:sz w:val="24"/>
          <w:szCs w:val="24"/>
        </w:rPr>
        <w:t xml:space="preserve">Grudem, Wayne. </w:t>
      </w:r>
      <w:r w:rsidRPr="009B39BE">
        <w:rPr>
          <w:rFonts w:ascii="Palatino Linotype" w:hAnsi="Palatino Linotype"/>
          <w:i/>
          <w:iCs/>
          <w:sz w:val="24"/>
          <w:szCs w:val="24"/>
        </w:rPr>
        <w:t>Systematic Theology</w:t>
      </w:r>
      <w:r w:rsidRPr="009B39BE">
        <w:rPr>
          <w:rFonts w:ascii="Palatino Linotype" w:hAnsi="Palatino Linotype"/>
          <w:sz w:val="24"/>
          <w:szCs w:val="24"/>
        </w:rPr>
        <w:t xml:space="preserve">: </w:t>
      </w:r>
      <w:r w:rsidRPr="009B39BE">
        <w:rPr>
          <w:rFonts w:ascii="Palatino Linotype" w:hAnsi="Palatino Linotype"/>
          <w:i/>
          <w:iCs/>
          <w:sz w:val="24"/>
          <w:szCs w:val="24"/>
        </w:rPr>
        <w:t xml:space="preserve">An Introduction to Biblical Doctrine. </w:t>
      </w:r>
      <w:r w:rsidRPr="009B39BE">
        <w:rPr>
          <w:rFonts w:ascii="Palatino Linotype" w:hAnsi="Palatino Linotype"/>
          <w:sz w:val="24"/>
          <w:szCs w:val="24"/>
        </w:rPr>
        <w:t>Grand Rapids: Zondervan, 1994.</w:t>
      </w:r>
    </w:p>
    <w:p w14:paraId="3737047C" w14:textId="77777777" w:rsidR="009B39BE" w:rsidRPr="009B39BE" w:rsidRDefault="009B39BE" w:rsidP="009B39BE">
      <w:pPr>
        <w:spacing w:after="0" w:line="240" w:lineRule="auto"/>
        <w:ind w:left="1077" w:hanging="1077"/>
        <w:jc w:val="both"/>
        <w:rPr>
          <w:rFonts w:ascii="Palatino Linotype" w:hAnsi="Palatino Linotype"/>
          <w:sz w:val="24"/>
          <w:szCs w:val="24"/>
        </w:rPr>
      </w:pPr>
      <w:r w:rsidRPr="009B39BE">
        <w:rPr>
          <w:rFonts w:ascii="Palatino Linotype" w:hAnsi="Palatino Linotype"/>
          <w:sz w:val="24"/>
          <w:szCs w:val="24"/>
        </w:rPr>
        <w:t xml:space="preserve">Hoekema, Antony A. </w:t>
      </w:r>
      <w:r w:rsidRPr="009B39BE">
        <w:rPr>
          <w:rFonts w:ascii="Palatino Linotype" w:hAnsi="Palatino Linotype"/>
          <w:i/>
          <w:iCs/>
          <w:sz w:val="24"/>
          <w:szCs w:val="24"/>
        </w:rPr>
        <w:t xml:space="preserve">The Bible and the Future. </w:t>
      </w:r>
      <w:r w:rsidRPr="009B39BE">
        <w:rPr>
          <w:rFonts w:ascii="Palatino Linotype" w:hAnsi="Palatino Linotype"/>
          <w:sz w:val="24"/>
          <w:szCs w:val="24"/>
        </w:rPr>
        <w:t xml:space="preserve"> Grand Rapids: Eerdmans, 1979.</w:t>
      </w:r>
    </w:p>
    <w:p w14:paraId="54B3EAD4" w14:textId="77777777" w:rsidR="009B39BE" w:rsidRPr="009B39BE" w:rsidRDefault="009B39BE" w:rsidP="009B39BE">
      <w:pPr>
        <w:spacing w:after="0" w:line="240" w:lineRule="auto"/>
        <w:ind w:left="1077" w:hanging="1077"/>
        <w:jc w:val="both"/>
        <w:rPr>
          <w:rFonts w:ascii="Palatino Linotype" w:hAnsi="Palatino Linotype"/>
          <w:sz w:val="24"/>
          <w:szCs w:val="24"/>
        </w:rPr>
      </w:pPr>
      <w:r w:rsidRPr="009B39BE">
        <w:rPr>
          <w:rFonts w:ascii="Palatino Linotype" w:hAnsi="Palatino Linotype"/>
          <w:sz w:val="24"/>
          <w:szCs w:val="24"/>
        </w:rPr>
        <w:t xml:space="preserve">Irenaeus. </w:t>
      </w:r>
      <w:r w:rsidRPr="009B39BE">
        <w:rPr>
          <w:rFonts w:ascii="Palatino Linotype" w:hAnsi="Palatino Linotype"/>
          <w:i/>
          <w:iCs/>
          <w:sz w:val="24"/>
          <w:szCs w:val="24"/>
        </w:rPr>
        <w:t xml:space="preserve">Against Heresies. </w:t>
      </w:r>
      <w:r w:rsidRPr="009B39BE">
        <w:rPr>
          <w:rFonts w:ascii="Palatino Linotype" w:hAnsi="Palatino Linotype"/>
          <w:sz w:val="24"/>
          <w:szCs w:val="24"/>
        </w:rPr>
        <w:t xml:space="preserve">In </w:t>
      </w:r>
      <w:r w:rsidRPr="009B39BE">
        <w:rPr>
          <w:rFonts w:ascii="Palatino Linotype" w:hAnsi="Palatino Linotype"/>
          <w:i/>
          <w:iCs/>
          <w:sz w:val="24"/>
          <w:szCs w:val="24"/>
        </w:rPr>
        <w:t xml:space="preserve">Ante-Nicene Fathers, </w:t>
      </w:r>
      <w:r w:rsidRPr="009B39BE">
        <w:rPr>
          <w:rFonts w:ascii="Palatino Linotype" w:hAnsi="Palatino Linotype"/>
          <w:sz w:val="24"/>
          <w:szCs w:val="24"/>
        </w:rPr>
        <w:t>vol. 1. ed, Alexanders Roberts and James Donaldson.  Peabody, MA: Hendrickson, 1994.</w:t>
      </w:r>
    </w:p>
    <w:p w14:paraId="1544A26E" w14:textId="77777777" w:rsidR="009B39BE" w:rsidRPr="009B39BE" w:rsidRDefault="009B39BE" w:rsidP="009B39BE">
      <w:pPr>
        <w:spacing w:after="0" w:line="240" w:lineRule="auto"/>
        <w:ind w:left="1077" w:hanging="1077"/>
        <w:jc w:val="both"/>
        <w:rPr>
          <w:rFonts w:ascii="Palatino Linotype" w:hAnsi="Palatino Linotype"/>
          <w:sz w:val="24"/>
          <w:szCs w:val="24"/>
        </w:rPr>
      </w:pPr>
      <w:r w:rsidRPr="009B39BE">
        <w:rPr>
          <w:rFonts w:ascii="Palatino Linotype" w:hAnsi="Palatino Linotype"/>
          <w:sz w:val="24"/>
          <w:szCs w:val="24"/>
        </w:rPr>
        <w:t xml:space="preserve">Origen. </w:t>
      </w:r>
      <w:r w:rsidRPr="009B39BE">
        <w:rPr>
          <w:rFonts w:ascii="Palatino Linotype" w:hAnsi="Palatino Linotype"/>
          <w:i/>
          <w:iCs/>
          <w:sz w:val="24"/>
          <w:szCs w:val="24"/>
        </w:rPr>
        <w:t xml:space="preserve">On First Principles. </w:t>
      </w:r>
      <w:r w:rsidRPr="009B39BE">
        <w:rPr>
          <w:rFonts w:ascii="Palatino Linotype" w:hAnsi="Palatino Linotype"/>
          <w:sz w:val="24"/>
          <w:szCs w:val="24"/>
        </w:rPr>
        <w:t xml:space="preserve">In </w:t>
      </w:r>
      <w:r w:rsidRPr="009B39BE">
        <w:rPr>
          <w:rFonts w:ascii="Palatino Linotype" w:hAnsi="Palatino Linotype"/>
          <w:i/>
          <w:iCs/>
          <w:sz w:val="24"/>
          <w:szCs w:val="24"/>
        </w:rPr>
        <w:t xml:space="preserve">Ante-Nicene Fathers, </w:t>
      </w:r>
      <w:r w:rsidRPr="009B39BE">
        <w:rPr>
          <w:rFonts w:ascii="Palatino Linotype" w:hAnsi="Palatino Linotype"/>
          <w:sz w:val="24"/>
          <w:szCs w:val="24"/>
        </w:rPr>
        <w:t>vol. 4. ed, Alexanders Roberts and James Donaldso, Peabody, MA: Hendrickson, 1994.</w:t>
      </w:r>
    </w:p>
    <w:p w14:paraId="05182085" w14:textId="77777777" w:rsidR="009B39BE" w:rsidRPr="009B39BE" w:rsidRDefault="009B39BE" w:rsidP="009B39BE">
      <w:pPr>
        <w:spacing w:after="0" w:line="240" w:lineRule="auto"/>
        <w:ind w:left="1077" w:hanging="1077"/>
        <w:jc w:val="both"/>
        <w:rPr>
          <w:rFonts w:ascii="Palatino Linotype" w:hAnsi="Palatino Linotype"/>
          <w:sz w:val="24"/>
          <w:szCs w:val="24"/>
        </w:rPr>
      </w:pPr>
      <w:r w:rsidRPr="009B39BE">
        <w:rPr>
          <w:rFonts w:ascii="Palatino Linotype" w:hAnsi="Palatino Linotype"/>
          <w:sz w:val="24"/>
          <w:szCs w:val="24"/>
        </w:rPr>
        <w:t xml:space="preserve">Turtullian. </w:t>
      </w:r>
      <w:r w:rsidRPr="009B39BE">
        <w:rPr>
          <w:rFonts w:ascii="Palatino Linotype" w:hAnsi="Palatino Linotype"/>
          <w:i/>
          <w:iCs/>
          <w:sz w:val="24"/>
          <w:szCs w:val="24"/>
        </w:rPr>
        <w:t xml:space="preserve">On the Soul. </w:t>
      </w:r>
      <w:r w:rsidRPr="009B39BE">
        <w:rPr>
          <w:rFonts w:ascii="Palatino Linotype" w:hAnsi="Palatino Linotype"/>
          <w:sz w:val="24"/>
          <w:szCs w:val="24"/>
        </w:rPr>
        <w:t xml:space="preserve">In </w:t>
      </w:r>
      <w:r w:rsidRPr="009B39BE">
        <w:rPr>
          <w:rFonts w:ascii="Palatino Linotype" w:hAnsi="Palatino Linotype"/>
          <w:i/>
          <w:iCs/>
          <w:sz w:val="24"/>
          <w:szCs w:val="24"/>
        </w:rPr>
        <w:t xml:space="preserve">Ante-Nicene Fathers, </w:t>
      </w:r>
      <w:r w:rsidRPr="009B39BE">
        <w:rPr>
          <w:rFonts w:ascii="Palatino Linotype" w:hAnsi="Palatino Linotype"/>
          <w:sz w:val="24"/>
          <w:szCs w:val="24"/>
        </w:rPr>
        <w:t>vol. 3. Ed Alexander Roberts and James Donaldson. Peabody, MA: Hendrickson, 1994.</w:t>
      </w:r>
    </w:p>
    <w:p w14:paraId="1D7F33CC" w14:textId="1283043A" w:rsidR="00096C84" w:rsidRDefault="00096C84" w:rsidP="009B39BE">
      <w:pPr>
        <w:spacing w:after="0" w:line="240" w:lineRule="auto"/>
        <w:ind w:left="1077" w:hanging="1077"/>
        <w:jc w:val="both"/>
        <w:rPr>
          <w:rFonts w:ascii="Palatino Linotype" w:hAnsi="Palatino Linotype"/>
          <w:sz w:val="24"/>
          <w:szCs w:val="24"/>
        </w:rPr>
      </w:pPr>
    </w:p>
    <w:sectPr w:rsidR="00096C84" w:rsidSect="007704FA">
      <w:headerReference w:type="default" r:id="rId10"/>
      <w:footerReference w:type="default" r:id="rId11"/>
      <w:pgSz w:w="11906" w:h="16838" w:code="9"/>
      <w:pgMar w:top="1440" w:right="1440" w:bottom="1440" w:left="1440" w:header="1080" w:footer="10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D7DE9" w14:textId="77777777" w:rsidR="00733827" w:rsidRDefault="00733827">
      <w:pPr>
        <w:spacing w:after="0" w:line="240" w:lineRule="auto"/>
      </w:pPr>
      <w:r>
        <w:separator/>
      </w:r>
    </w:p>
  </w:endnote>
  <w:endnote w:type="continuationSeparator" w:id="0">
    <w:p w14:paraId="5FD77B35" w14:textId="77777777" w:rsidR="00733827" w:rsidRDefault="00733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ootlight MT Light" w:hAnsi="Footlight MT Light"/>
      </w:rPr>
      <w:id w:val="-1722279943"/>
      <w:docPartObj>
        <w:docPartGallery w:val="Page Numbers (Bottom of Page)"/>
        <w:docPartUnique/>
      </w:docPartObj>
    </w:sdtPr>
    <w:sdtEndPr>
      <w:rPr>
        <w:noProof/>
      </w:rPr>
    </w:sdtEndPr>
    <w:sdtContent>
      <w:p w14:paraId="5B8C0684" w14:textId="77777777" w:rsidR="007704FA" w:rsidRPr="003B15E2" w:rsidRDefault="007704FA" w:rsidP="003B15E2">
        <w:pPr>
          <w:pStyle w:val="Footer"/>
          <w:jc w:val="center"/>
          <w:rPr>
            <w:rFonts w:ascii="Footlight MT Light" w:hAnsi="Footlight MT Light"/>
          </w:rPr>
        </w:pPr>
        <w:r>
          <w:rPr>
            <w:rFonts w:ascii="Footlight MT Light" w:hAnsi="Footlight MT Light"/>
          </w:rPr>
          <w:t xml:space="preserve">AGORA | </w:t>
        </w:r>
        <w:r w:rsidRPr="003B15E2">
          <w:rPr>
            <w:rFonts w:ascii="Footlight MT Light" w:hAnsi="Footlight MT Light"/>
          </w:rPr>
          <w:fldChar w:fldCharType="begin"/>
        </w:r>
        <w:r w:rsidRPr="003B15E2">
          <w:rPr>
            <w:rFonts w:ascii="Footlight MT Light" w:hAnsi="Footlight MT Light"/>
          </w:rPr>
          <w:instrText xml:space="preserve"> PAGE   \* MERGEFORMAT </w:instrText>
        </w:r>
        <w:r w:rsidRPr="003B15E2">
          <w:rPr>
            <w:rFonts w:ascii="Footlight MT Light" w:hAnsi="Footlight MT Light"/>
          </w:rPr>
          <w:fldChar w:fldCharType="separate"/>
        </w:r>
        <w:r w:rsidR="008565E2">
          <w:rPr>
            <w:rFonts w:ascii="Footlight MT Light" w:hAnsi="Footlight MT Light"/>
            <w:noProof/>
          </w:rPr>
          <w:t>1</w:t>
        </w:r>
        <w:r w:rsidRPr="003B15E2">
          <w:rPr>
            <w:rFonts w:ascii="Footlight MT Light" w:hAnsi="Footlight MT Light"/>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8D73A" w14:textId="77777777" w:rsidR="00733827" w:rsidRDefault="00733827">
      <w:pPr>
        <w:spacing w:after="0" w:line="240" w:lineRule="auto"/>
      </w:pPr>
      <w:r>
        <w:separator/>
      </w:r>
    </w:p>
  </w:footnote>
  <w:footnote w:type="continuationSeparator" w:id="0">
    <w:p w14:paraId="68FCAF62" w14:textId="77777777" w:rsidR="00733827" w:rsidRDefault="00733827">
      <w:pPr>
        <w:spacing w:after="0" w:line="240" w:lineRule="auto"/>
      </w:pPr>
      <w:r>
        <w:continuationSeparator/>
      </w:r>
    </w:p>
  </w:footnote>
  <w:footnote w:id="1">
    <w:p w14:paraId="23EA5FF6" w14:textId="730FAEA0" w:rsidR="00516AA4" w:rsidRPr="001F2E9C" w:rsidRDefault="00516AA4" w:rsidP="00A5069E">
      <w:pPr>
        <w:pStyle w:val="FootnoteText"/>
        <w:ind w:firstLine="851"/>
        <w:rPr>
          <w:rFonts w:ascii="Palatino Linotype" w:hAnsi="Palatino Linotype" w:cs="Times New Roman"/>
          <w:lang w:val="id-ID"/>
        </w:rPr>
      </w:pPr>
      <w:r w:rsidRPr="001F2E9C">
        <w:rPr>
          <w:rStyle w:val="FootnoteReference"/>
          <w:rFonts w:ascii="Palatino Linotype" w:hAnsi="Palatino Linotype" w:cs="Times New Roman"/>
        </w:rPr>
        <w:footnoteRef/>
      </w:r>
      <w:r w:rsidRPr="001F2E9C">
        <w:rPr>
          <w:rFonts w:ascii="Palatino Linotype" w:hAnsi="Palatino Linotype" w:cs="Times New Roman"/>
          <w:vertAlign w:val="superscript"/>
        </w:rPr>
        <w:t xml:space="preserve"> </w:t>
      </w:r>
      <w:r w:rsidR="00A5069E" w:rsidRPr="001F2E9C">
        <w:rPr>
          <w:rFonts w:ascii="Palatino Linotype" w:hAnsi="Palatino Linotype" w:cs="Times New Roman"/>
        </w:rPr>
        <w:t>Louis Berkhof, Systematic Theology (Grand Rapids: Eerdmans, 1938), 191–194.</w:t>
      </w:r>
      <w:r w:rsidR="00A5069E" w:rsidRPr="001F2E9C">
        <w:rPr>
          <w:rFonts w:ascii="Palatino Linotype" w:hAnsi="Palatino Linotype" w:cs="Times New Roman"/>
          <w:lang w:val="id-ID"/>
        </w:rPr>
        <w:t xml:space="preserve"> </w:t>
      </w:r>
    </w:p>
  </w:footnote>
  <w:footnote w:id="2">
    <w:p w14:paraId="662236F1" w14:textId="49719FFE" w:rsidR="00AF2857" w:rsidRPr="001F2E9C" w:rsidRDefault="00AF2857" w:rsidP="00A5069E">
      <w:pPr>
        <w:pStyle w:val="FootnoteText"/>
        <w:ind w:firstLine="851"/>
        <w:rPr>
          <w:rFonts w:ascii="Palatino Linotype" w:hAnsi="Palatino Linotype"/>
          <w:lang w:val="id-ID"/>
        </w:rPr>
      </w:pPr>
      <w:r w:rsidRPr="000C3FF5">
        <w:rPr>
          <w:rStyle w:val="FootnoteReference"/>
          <w:rFonts w:ascii="Palatino Linotype" w:hAnsi="Palatino Linotype"/>
        </w:rPr>
        <w:footnoteRef/>
      </w:r>
      <w:r w:rsidRPr="000C3FF5">
        <w:rPr>
          <w:rFonts w:ascii="Palatino Linotype" w:hAnsi="Palatino Linotype"/>
          <w:vertAlign w:val="superscript"/>
        </w:rPr>
        <w:t xml:space="preserve"> </w:t>
      </w:r>
      <w:r w:rsidR="00A5069E" w:rsidRPr="001F2E9C">
        <w:rPr>
          <w:rFonts w:ascii="Palatino Linotype" w:hAnsi="Palatino Linotype" w:cs="Times New Roman"/>
        </w:rPr>
        <w:t>Herman Bavinck, Reformed Dogmatics, vol. 2 (Grand Rapids: Baker, 2004), 555–560.</w:t>
      </w:r>
    </w:p>
  </w:footnote>
  <w:footnote w:id="3">
    <w:p w14:paraId="09CF1EA0" w14:textId="7B9E3BE9" w:rsidR="003A59E6" w:rsidRPr="000C3FF5" w:rsidRDefault="003A59E6" w:rsidP="003E0B6E">
      <w:pPr>
        <w:pStyle w:val="FootnoteText"/>
        <w:ind w:firstLine="709"/>
        <w:rPr>
          <w:rFonts w:ascii="Palatino Linotype" w:hAnsi="Palatino Linotype"/>
          <w:lang w:val="id-ID"/>
        </w:rPr>
      </w:pPr>
      <w:r w:rsidRPr="003E0B6E">
        <w:rPr>
          <w:rStyle w:val="FootnoteReference"/>
          <w:rFonts w:ascii="Palatino Linotype" w:hAnsi="Palatino Linotype"/>
        </w:rPr>
        <w:footnoteRef/>
      </w:r>
      <w:r w:rsidRPr="003E0B6E">
        <w:rPr>
          <w:rFonts w:ascii="Palatino Linotype" w:hAnsi="Palatino Linotype"/>
        </w:rPr>
        <w:t xml:space="preserve"> </w:t>
      </w:r>
      <w:r w:rsidRPr="000C3FF5">
        <w:rPr>
          <w:rFonts w:ascii="Palatino Linotype" w:hAnsi="Palatino Linotype"/>
        </w:rPr>
        <w:fldChar w:fldCharType="begin"/>
      </w:r>
      <w:r w:rsidRPr="000C3FF5">
        <w:rPr>
          <w:rFonts w:ascii="Palatino Linotype" w:hAnsi="Palatino Linotype"/>
        </w:rPr>
        <w:instrText xml:space="preserve"> ADDIN ZOTERO_ITEM CSL_CITATION {"citationID":"fmQdiPFr","properties":{"formattedCitation":"Grudem, {\\i{}Systematic Theology}, 472\\uc0\\u8211{}76.","plainCitation":"Grudem, Systematic Theology, 472–76.","noteIndex":3},"citationItems":[{"id":3,"uris":["http://zotero.org/users/19736358/items/ZDUP57RN"],"itemData":{"id":3,"type":"book","number-of-pages":"1-700","publisher":"Zondervan","publisher-place":"grand Rapids","title":"Systematic Theology","author":[{"family":"Grudem","given":"Wayne"}],"issued":{"date-parts":[["1994"]]}},"locator":"472-476","label":"page"}],"schema":"https://github.com/citation-style-language/schema/raw/master/csl-citation.json"} </w:instrText>
      </w:r>
      <w:r w:rsidRPr="000C3FF5">
        <w:rPr>
          <w:rFonts w:ascii="Palatino Linotype" w:hAnsi="Palatino Linotype"/>
        </w:rPr>
        <w:fldChar w:fldCharType="separate"/>
      </w:r>
      <w:r w:rsidRPr="000C3FF5">
        <w:rPr>
          <w:rFonts w:ascii="Palatino Linotype" w:hAnsi="Palatino Linotype" w:cs="Calibri"/>
          <w:kern w:val="0"/>
        </w:rPr>
        <w:t xml:space="preserve">Grudem, </w:t>
      </w:r>
      <w:r w:rsidRPr="000C3FF5">
        <w:rPr>
          <w:rFonts w:ascii="Palatino Linotype" w:hAnsi="Palatino Linotype" w:cs="Calibri"/>
          <w:i/>
          <w:iCs/>
          <w:kern w:val="0"/>
        </w:rPr>
        <w:t>Systematic Theology</w:t>
      </w:r>
      <w:r w:rsidRPr="000C3FF5">
        <w:rPr>
          <w:rFonts w:ascii="Palatino Linotype" w:hAnsi="Palatino Linotype" w:cs="Calibri"/>
          <w:kern w:val="0"/>
        </w:rPr>
        <w:t>, 472–76.</w:t>
      </w:r>
      <w:r w:rsidRPr="000C3FF5">
        <w:rPr>
          <w:rFonts w:ascii="Palatino Linotype" w:hAnsi="Palatino Linotype"/>
        </w:rPr>
        <w:fldChar w:fldCharType="end"/>
      </w:r>
    </w:p>
  </w:footnote>
  <w:footnote w:id="4">
    <w:p w14:paraId="2A2F78C1" w14:textId="329A3E02" w:rsidR="003A59E6" w:rsidRPr="00387911" w:rsidRDefault="003A59E6" w:rsidP="003E0B6E">
      <w:pPr>
        <w:pStyle w:val="FootnoteText"/>
        <w:ind w:firstLine="709"/>
        <w:rPr>
          <w:rFonts w:ascii="Palatino Linotype" w:hAnsi="Palatino Linotype"/>
          <w:lang w:val="id-ID"/>
        </w:rPr>
      </w:pPr>
      <w:r w:rsidRPr="00387911">
        <w:rPr>
          <w:rStyle w:val="FootnoteReference"/>
          <w:rFonts w:ascii="Palatino Linotype" w:hAnsi="Palatino Linotype"/>
        </w:rPr>
        <w:footnoteRef/>
      </w:r>
      <w:r w:rsidRPr="00387911">
        <w:rPr>
          <w:rFonts w:ascii="Palatino Linotype" w:hAnsi="Palatino Linotype"/>
        </w:rPr>
        <w:t xml:space="preserve"> </w:t>
      </w:r>
      <w:r w:rsidR="007B557C" w:rsidRPr="00387911">
        <w:rPr>
          <w:rFonts w:ascii="Palatino Linotype" w:hAnsi="Palatino Linotype"/>
        </w:rPr>
        <w:t>Irenaeus,</w:t>
      </w:r>
      <w:r w:rsidR="00F72DEA" w:rsidRPr="00387911">
        <w:rPr>
          <w:rFonts w:ascii="Palatino Linotype" w:hAnsi="Palatino Linotype"/>
        </w:rPr>
        <w:t xml:space="preserve"> </w:t>
      </w:r>
      <w:r w:rsidRPr="00387911">
        <w:rPr>
          <w:rFonts w:ascii="Palatino Linotype" w:hAnsi="Palatino Linotype"/>
        </w:rPr>
        <w:fldChar w:fldCharType="begin"/>
      </w:r>
      <w:r w:rsidRPr="00387911">
        <w:rPr>
          <w:rFonts w:ascii="Palatino Linotype" w:hAnsi="Palatino Linotype"/>
        </w:rPr>
        <w:instrText xml:space="preserve"> ADDIN ZOTERO_ITEM CSL_CITATION {"citationID":"fAjFh2I0","properties":{"formattedCitation":"{\\i{}Against Heresies}, Vol. 1, 531.","plainCitation":"Against Heresies, Vol. 1, 531.","noteIndex":4},"citationItems":[{"id":4,"uris":["http://zotero.org/users/19736358/items/IY3MCKBY"],"itemData":{"id":4,"type":"book","collection-number":"V.6.1","collection-title":"Ante-Nicene Fathers","edition":"Alexander Roberts and James Donaldson","number-of-pages":"1-800","publisher":"Hendrickson","publisher-place":"Peabody, MA","title":"Against Heresies","volume":"Vol. 1","author":[{"family":"","given":"Irenaeus"}],"issued":{"date-parts":[["1994"]]}},"locator":"531","label":"page"}],"schema":"https://github.com/citation-style-language/schema/raw/master/csl-citation.json"} </w:instrText>
      </w:r>
      <w:r w:rsidRPr="00387911">
        <w:rPr>
          <w:rFonts w:ascii="Palatino Linotype" w:hAnsi="Palatino Linotype"/>
        </w:rPr>
        <w:fldChar w:fldCharType="separate"/>
      </w:r>
      <w:r w:rsidRPr="00387911">
        <w:rPr>
          <w:rFonts w:ascii="Palatino Linotype" w:hAnsi="Palatino Linotype" w:cs="Calibri"/>
          <w:i/>
          <w:iCs/>
          <w:kern w:val="0"/>
        </w:rPr>
        <w:t>Against Heresies</w:t>
      </w:r>
      <w:r w:rsidRPr="00387911">
        <w:rPr>
          <w:rFonts w:ascii="Palatino Linotype" w:hAnsi="Palatino Linotype" w:cs="Calibri"/>
          <w:kern w:val="0"/>
        </w:rPr>
        <w:t xml:space="preserve">, </w:t>
      </w:r>
      <w:r w:rsidR="00F72DEA" w:rsidRPr="00387911">
        <w:rPr>
          <w:rFonts w:ascii="Palatino Linotype" w:hAnsi="Palatino Linotype" w:cs="Calibri"/>
          <w:kern w:val="0"/>
        </w:rPr>
        <w:t xml:space="preserve">V.6.1, in </w:t>
      </w:r>
      <w:r w:rsidR="00F72DEA" w:rsidRPr="00387911">
        <w:rPr>
          <w:rFonts w:ascii="Palatino Linotype" w:hAnsi="Palatino Linotype"/>
          <w:i/>
          <w:iCs/>
        </w:rPr>
        <w:t xml:space="preserve">Ante-Nicene Farthers, </w:t>
      </w:r>
      <w:r w:rsidR="00F72DEA" w:rsidRPr="00387911">
        <w:rPr>
          <w:rFonts w:ascii="Palatino Linotype" w:hAnsi="Palatino Linotype"/>
        </w:rPr>
        <w:t>vol. 1, ed. Alexander Roberts and James Donaldson (Peabody, MA: Hendrickson, 1994),</w:t>
      </w:r>
      <w:r w:rsidRPr="00387911">
        <w:rPr>
          <w:rFonts w:ascii="Palatino Linotype" w:hAnsi="Palatino Linotype" w:cs="Calibri"/>
          <w:kern w:val="0"/>
        </w:rPr>
        <w:t xml:space="preserve"> 531.</w:t>
      </w:r>
      <w:r w:rsidRPr="00387911">
        <w:rPr>
          <w:rFonts w:ascii="Palatino Linotype" w:hAnsi="Palatino Linotype"/>
        </w:rPr>
        <w:fldChar w:fldCharType="end"/>
      </w:r>
    </w:p>
  </w:footnote>
  <w:footnote w:id="5">
    <w:p w14:paraId="565CE731" w14:textId="1EEA107F" w:rsidR="007B557C" w:rsidRPr="00387911" w:rsidRDefault="007B557C" w:rsidP="003E0B6E">
      <w:pPr>
        <w:pStyle w:val="FootnoteText"/>
        <w:ind w:firstLine="709"/>
        <w:rPr>
          <w:rFonts w:ascii="Palatino Linotype" w:hAnsi="Palatino Linotype"/>
          <w:lang w:val="id-ID"/>
        </w:rPr>
      </w:pPr>
      <w:r w:rsidRPr="00387911">
        <w:rPr>
          <w:rStyle w:val="FootnoteReference"/>
          <w:rFonts w:ascii="Palatino Linotype" w:hAnsi="Palatino Linotype"/>
        </w:rPr>
        <w:footnoteRef/>
      </w:r>
      <w:r w:rsidRPr="00387911">
        <w:rPr>
          <w:rFonts w:ascii="Palatino Linotype" w:hAnsi="Palatino Linotype"/>
        </w:rPr>
        <w:t xml:space="preserve"> Origen, </w:t>
      </w:r>
      <w:r w:rsidRPr="00387911">
        <w:rPr>
          <w:rFonts w:ascii="Palatino Linotype" w:hAnsi="Palatino Linotype"/>
          <w:i/>
          <w:iCs/>
        </w:rPr>
        <w:t xml:space="preserve">On First zpricipls, </w:t>
      </w:r>
      <w:r w:rsidRPr="00387911">
        <w:rPr>
          <w:rFonts w:ascii="Palatino Linotype" w:hAnsi="Palatino Linotype"/>
        </w:rPr>
        <w:t xml:space="preserve">II.8.4, in </w:t>
      </w:r>
      <w:r w:rsidRPr="00387911">
        <w:rPr>
          <w:rFonts w:ascii="Palatino Linotype" w:hAnsi="Palatino Linotype"/>
          <w:i/>
          <w:iCs/>
        </w:rPr>
        <w:t xml:space="preserve">Ante-Nicene Farthers, </w:t>
      </w:r>
      <w:r w:rsidRPr="00387911">
        <w:rPr>
          <w:rFonts w:ascii="Palatino Linotype" w:hAnsi="Palatino Linotype"/>
        </w:rPr>
        <w:t>vol. 4, ed. Alexander Roberts and James Donaldson (Peabody, MA: Hendrickson, 1994), 289.</w:t>
      </w:r>
    </w:p>
  </w:footnote>
  <w:footnote w:id="6">
    <w:p w14:paraId="07CBD59A" w14:textId="5FB9DF89" w:rsidR="00F72DEA" w:rsidRPr="00F72DEA" w:rsidRDefault="00F72DEA" w:rsidP="003E0B6E">
      <w:pPr>
        <w:pStyle w:val="FootnoteText"/>
        <w:ind w:firstLine="709"/>
        <w:rPr>
          <w:rFonts w:ascii="Palatino Linotype" w:hAnsi="Palatino Linotype"/>
          <w:lang w:val="id-ID"/>
        </w:rPr>
      </w:pPr>
      <w:r w:rsidRPr="00F72DEA">
        <w:rPr>
          <w:rStyle w:val="FootnoteReference"/>
          <w:rFonts w:ascii="Palatino Linotype" w:hAnsi="Palatino Linotype"/>
        </w:rPr>
        <w:footnoteRef/>
      </w:r>
      <w:r w:rsidRPr="00F72DEA">
        <w:rPr>
          <w:rFonts w:ascii="Palatino Linotype" w:hAnsi="Palatino Linotype"/>
        </w:rPr>
        <w:t xml:space="preserve"> </w:t>
      </w:r>
      <w:r>
        <w:rPr>
          <w:rFonts w:ascii="Palatino Linotype" w:hAnsi="Palatino Linotype"/>
        </w:rPr>
        <w:t xml:space="preserve">Tertullian, </w:t>
      </w:r>
      <w:r>
        <w:rPr>
          <w:rFonts w:ascii="Palatino Linotype" w:hAnsi="Palatino Linotype"/>
          <w:i/>
          <w:iCs/>
        </w:rPr>
        <w:t xml:space="preserve">On the Soul, </w:t>
      </w:r>
      <w:r>
        <w:rPr>
          <w:rFonts w:ascii="Palatino Linotype" w:hAnsi="Palatino Linotype"/>
        </w:rPr>
        <w:t xml:space="preserve">ch. 10, in </w:t>
      </w:r>
      <w:r>
        <w:rPr>
          <w:rFonts w:ascii="Palatino Linotype" w:hAnsi="Palatino Linotype"/>
          <w:i/>
          <w:iCs/>
          <w:lang w:val="id-ID"/>
        </w:rPr>
        <w:t xml:space="preserve">Ante-Nicene Fathers, </w:t>
      </w:r>
      <w:r>
        <w:rPr>
          <w:rFonts w:ascii="Palatino Linotype" w:hAnsi="Palatino Linotype"/>
          <w:lang w:val="id-ID"/>
        </w:rPr>
        <w:t>vol.</w:t>
      </w:r>
      <w:r w:rsidR="00593492">
        <w:rPr>
          <w:rFonts w:ascii="Palatino Linotype" w:hAnsi="Palatino Linotype"/>
          <w:lang w:val="id-ID"/>
        </w:rPr>
        <w:t>3 (Peabody, MA: Hendrickson, 1994), 188.</w:t>
      </w:r>
    </w:p>
  </w:footnote>
  <w:footnote w:id="7">
    <w:p w14:paraId="6E5002AF" w14:textId="6C007353" w:rsidR="00812D71" w:rsidRPr="00812D71" w:rsidRDefault="00812D71" w:rsidP="003E0B6E">
      <w:pPr>
        <w:pStyle w:val="FootnoteText"/>
        <w:ind w:firstLine="709"/>
        <w:rPr>
          <w:rFonts w:ascii="Palatino Linotype" w:hAnsi="Palatino Linotype"/>
          <w:lang w:val="id-ID"/>
        </w:rPr>
      </w:pPr>
      <w:r>
        <w:rPr>
          <w:rStyle w:val="FootnoteReference"/>
        </w:rPr>
        <w:footnoteRef/>
      </w:r>
      <w:r>
        <w:t xml:space="preserve"> </w:t>
      </w:r>
      <w:r>
        <w:rPr>
          <w:rFonts w:ascii="Palatino Linotype" w:hAnsi="Palatino Linotype"/>
          <w:lang w:val="id-ID"/>
        </w:rPr>
        <w:t xml:space="preserve">Augustine, </w:t>
      </w:r>
      <w:r>
        <w:rPr>
          <w:rFonts w:ascii="Palatino Linotype" w:hAnsi="Palatino Linotype"/>
          <w:i/>
          <w:iCs/>
          <w:lang w:val="id-ID"/>
        </w:rPr>
        <w:t xml:space="preserve">The City Of God, </w:t>
      </w:r>
      <w:r>
        <w:rPr>
          <w:rFonts w:ascii="Palatino Linotype" w:hAnsi="Palatino Linotype"/>
          <w:lang w:val="id-ID"/>
        </w:rPr>
        <w:t xml:space="preserve">XIII. 24, in </w:t>
      </w:r>
      <w:r>
        <w:rPr>
          <w:rFonts w:ascii="Palatino Linotype" w:hAnsi="Palatino Linotype"/>
          <w:i/>
          <w:iCs/>
          <w:lang w:val="id-ID"/>
        </w:rPr>
        <w:t>Nicene and Post-Nicene Fathers</w:t>
      </w:r>
      <w:r w:rsidRPr="00812D71">
        <w:rPr>
          <w:rFonts w:ascii="Palatino Linotype" w:hAnsi="Palatino Linotype"/>
          <w:lang w:val="id-ID"/>
        </w:rPr>
        <w:t>, Firs Series, vol. 2, ed.</w:t>
      </w:r>
      <w:r>
        <w:rPr>
          <w:rFonts w:ascii="Palatino Linotype" w:hAnsi="Palatino Linotype"/>
          <w:lang w:val="id-ID"/>
        </w:rPr>
        <w:t xml:space="preserve"> Philip Schaff (Peabody, MA: Hendrickson,1994), 268.</w:t>
      </w:r>
    </w:p>
  </w:footnote>
  <w:footnote w:id="8">
    <w:p w14:paraId="1F11E21D" w14:textId="25CA5F2F" w:rsidR="00812D71" w:rsidRPr="00391D5D" w:rsidRDefault="00812D71" w:rsidP="003E0B6E">
      <w:pPr>
        <w:pStyle w:val="FootnoteText"/>
        <w:ind w:firstLine="709"/>
        <w:rPr>
          <w:rFonts w:ascii="Palatino Linotype" w:hAnsi="Palatino Linotype"/>
          <w:lang w:val="id-ID"/>
        </w:rPr>
      </w:pPr>
      <w:r>
        <w:rPr>
          <w:rStyle w:val="FootnoteReference"/>
        </w:rPr>
        <w:footnoteRef/>
      </w:r>
      <w:r>
        <w:t xml:space="preserve"> </w:t>
      </w:r>
      <w:r w:rsidR="00391D5D">
        <w:rPr>
          <w:rFonts w:ascii="Palatino Linotype" w:hAnsi="Palatino Linotype"/>
        </w:rPr>
        <w:t xml:space="preserve">John Calvin, </w:t>
      </w:r>
      <w:r w:rsidR="00391D5D">
        <w:rPr>
          <w:rFonts w:ascii="Palatino Linotype" w:hAnsi="Palatino Linotype"/>
          <w:i/>
          <w:iCs/>
        </w:rPr>
        <w:t xml:space="preserve">Institutes of the Christian Religion, </w:t>
      </w:r>
      <w:r w:rsidR="00391D5D">
        <w:rPr>
          <w:rFonts w:ascii="Palatino Linotype" w:hAnsi="Palatino Linotype"/>
        </w:rPr>
        <w:t>trans, Henry Beveridge (Peabody, MA: Hendrickson,2008), 1. 15.2.</w:t>
      </w:r>
    </w:p>
  </w:footnote>
  <w:footnote w:id="9">
    <w:p w14:paraId="0D38F7C0" w14:textId="305B8268" w:rsidR="00391D5D" w:rsidRPr="00391D5D" w:rsidRDefault="00391D5D" w:rsidP="003E0B6E">
      <w:pPr>
        <w:pStyle w:val="FootnoteText"/>
        <w:ind w:firstLine="709"/>
        <w:rPr>
          <w:rFonts w:ascii="Palatino Linotype" w:hAnsi="Palatino Linotype"/>
          <w:lang w:val="id-ID"/>
        </w:rPr>
      </w:pPr>
      <w:r>
        <w:rPr>
          <w:rStyle w:val="FootnoteReference"/>
        </w:rPr>
        <w:footnoteRef/>
      </w:r>
      <w:r>
        <w:t xml:space="preserve"> </w:t>
      </w:r>
      <w:r>
        <w:rPr>
          <w:rFonts w:ascii="Palatino Linotype" w:hAnsi="Palatino Linotype"/>
          <w:lang w:val="id-ID"/>
        </w:rPr>
        <w:t xml:space="preserve">Berkhof, </w:t>
      </w:r>
      <w:r>
        <w:rPr>
          <w:rFonts w:ascii="Palatino Linotype" w:hAnsi="Palatino Linotype"/>
          <w:i/>
          <w:iCs/>
          <w:lang w:val="id-ID"/>
        </w:rPr>
        <w:t xml:space="preserve">Systematic Theology, </w:t>
      </w:r>
      <w:r>
        <w:rPr>
          <w:rFonts w:ascii="Palatino Linotype" w:hAnsi="Palatino Linotype"/>
          <w:lang w:val="id-ID"/>
        </w:rPr>
        <w:t>191-194</w:t>
      </w:r>
      <w:r w:rsidR="003E0B6E">
        <w:rPr>
          <w:rFonts w:ascii="Palatino Linotype" w:hAnsi="Palatino Linotype"/>
          <w:lang w:val="id-ID"/>
        </w:rPr>
        <w:t>.</w:t>
      </w:r>
    </w:p>
  </w:footnote>
  <w:footnote w:id="10">
    <w:p w14:paraId="73E8FCFE" w14:textId="3DF804BD" w:rsidR="002D3CC9" w:rsidRPr="002D3CC9" w:rsidRDefault="002D3CC9" w:rsidP="003E0B6E">
      <w:pPr>
        <w:pStyle w:val="FootnoteText"/>
        <w:ind w:firstLine="709"/>
        <w:rPr>
          <w:rFonts w:ascii="Palatino Linotype" w:hAnsi="Palatino Linotype"/>
          <w:lang w:val="id-ID"/>
        </w:rPr>
      </w:pPr>
      <w:r>
        <w:rPr>
          <w:rStyle w:val="FootnoteReference"/>
        </w:rPr>
        <w:footnoteRef/>
      </w:r>
      <w:r>
        <w:t xml:space="preserve"> </w:t>
      </w:r>
      <w:r>
        <w:rPr>
          <w:rFonts w:ascii="Palatino Linotype" w:hAnsi="Palatino Linotype"/>
          <w:lang w:val="id-ID"/>
        </w:rPr>
        <w:t xml:space="preserve">Wayne Grudem, </w:t>
      </w:r>
      <w:r>
        <w:rPr>
          <w:rFonts w:ascii="Palatino Linotype" w:hAnsi="Palatino Linotype"/>
          <w:i/>
          <w:iCs/>
          <w:lang w:val="id-ID"/>
        </w:rPr>
        <w:t xml:space="preserve">Systematic Theologi:An Introduction to Biblical Doctrine </w:t>
      </w:r>
      <w:r>
        <w:rPr>
          <w:rFonts w:ascii="Palatino Linotype" w:hAnsi="Palatino Linotype"/>
          <w:lang w:val="id-ID"/>
        </w:rPr>
        <w:t>(Grand Rapids: Zondervan, 1994), 808-810.</w:t>
      </w:r>
    </w:p>
  </w:footnote>
  <w:footnote w:id="11">
    <w:p w14:paraId="768B0AC7" w14:textId="0ECF19E9" w:rsidR="002D3CC9" w:rsidRPr="0036252A" w:rsidRDefault="002D3CC9" w:rsidP="003E0B6E">
      <w:pPr>
        <w:pStyle w:val="FootnoteText"/>
        <w:ind w:firstLine="709"/>
        <w:rPr>
          <w:rFonts w:ascii="Palatino Linotype" w:hAnsi="Palatino Linotype"/>
          <w:lang w:val="id-ID"/>
        </w:rPr>
      </w:pPr>
      <w:r>
        <w:rPr>
          <w:rStyle w:val="FootnoteReference"/>
        </w:rPr>
        <w:footnoteRef/>
      </w:r>
      <w:r>
        <w:t xml:space="preserve"> </w:t>
      </w:r>
      <w:r>
        <w:rPr>
          <w:rFonts w:ascii="Palatino Linotype" w:hAnsi="Palatino Linotype"/>
          <w:lang w:val="id-ID"/>
        </w:rPr>
        <w:t>Berkhof</w:t>
      </w:r>
      <w:r w:rsidR="0036252A">
        <w:rPr>
          <w:rFonts w:ascii="Palatino Linotype" w:hAnsi="Palatino Linotype"/>
          <w:lang w:val="id-ID"/>
        </w:rPr>
        <w:t xml:space="preserve">, </w:t>
      </w:r>
      <w:r w:rsidR="0036252A">
        <w:rPr>
          <w:rFonts w:ascii="Palatino Linotype" w:hAnsi="Palatino Linotype"/>
          <w:i/>
          <w:iCs/>
          <w:lang w:val="id-ID"/>
        </w:rPr>
        <w:t xml:space="preserve">Systematic Theologi, </w:t>
      </w:r>
      <w:r w:rsidR="0036252A">
        <w:rPr>
          <w:rFonts w:ascii="Palatino Linotype" w:hAnsi="Palatino Linotype"/>
          <w:lang w:val="id-ID"/>
        </w:rPr>
        <w:t>679-682.</w:t>
      </w:r>
    </w:p>
  </w:footnote>
  <w:footnote w:id="12">
    <w:p w14:paraId="6B436311" w14:textId="413E2999" w:rsidR="0036252A" w:rsidRPr="0036252A" w:rsidRDefault="0036252A" w:rsidP="003E0B6E">
      <w:pPr>
        <w:pStyle w:val="FootnoteText"/>
        <w:ind w:firstLine="709"/>
        <w:rPr>
          <w:rFonts w:ascii="Palatino Linotype" w:hAnsi="Palatino Linotype"/>
          <w:lang w:val="id-ID"/>
        </w:rPr>
      </w:pPr>
      <w:r>
        <w:rPr>
          <w:rStyle w:val="FootnoteReference"/>
        </w:rPr>
        <w:footnoteRef/>
      </w:r>
      <w:r>
        <w:t xml:space="preserve"> </w:t>
      </w:r>
      <w:r>
        <w:rPr>
          <w:rFonts w:ascii="Palatino Linotype" w:hAnsi="Palatino Linotype"/>
          <w:lang w:val="id-ID"/>
        </w:rPr>
        <w:t xml:space="preserve">Calvin, </w:t>
      </w:r>
      <w:r>
        <w:rPr>
          <w:rFonts w:ascii="Palatino Linotype" w:hAnsi="Palatino Linotype"/>
          <w:i/>
          <w:iCs/>
          <w:lang w:val="id-ID"/>
        </w:rPr>
        <w:t xml:space="preserve">Institutes of the Christian Religion, </w:t>
      </w:r>
      <w:r>
        <w:rPr>
          <w:rFonts w:ascii="Palatino Linotype" w:hAnsi="Palatino Linotype"/>
          <w:lang w:val="id-ID"/>
        </w:rPr>
        <w:t>3.25.6-9</w:t>
      </w:r>
    </w:p>
  </w:footnote>
  <w:footnote w:id="13">
    <w:p w14:paraId="2FB88275" w14:textId="731B644F" w:rsidR="0036252A" w:rsidRPr="003E249B" w:rsidRDefault="0036252A" w:rsidP="003E0B6E">
      <w:pPr>
        <w:pStyle w:val="FootnoteText"/>
        <w:ind w:firstLine="709"/>
        <w:rPr>
          <w:rFonts w:ascii="Palatino Linotype" w:hAnsi="Palatino Linotype"/>
          <w:lang w:val="id-ID"/>
        </w:rPr>
      </w:pPr>
      <w:r>
        <w:rPr>
          <w:rStyle w:val="FootnoteReference"/>
        </w:rPr>
        <w:footnoteRef/>
      </w:r>
      <w:r>
        <w:t xml:space="preserve"> </w:t>
      </w:r>
      <w:r w:rsidR="003E249B">
        <w:rPr>
          <w:rFonts w:ascii="Palatino Linotype" w:hAnsi="Palatino Linotype"/>
        </w:rPr>
        <w:t>Ibid</w:t>
      </w:r>
    </w:p>
  </w:footnote>
  <w:footnote w:id="14">
    <w:p w14:paraId="24622AB7" w14:textId="7056001E" w:rsidR="003E249B" w:rsidRPr="003E249B" w:rsidRDefault="003E249B" w:rsidP="003E0B6E">
      <w:pPr>
        <w:pStyle w:val="FootnoteText"/>
        <w:ind w:firstLine="709"/>
        <w:rPr>
          <w:rFonts w:ascii="Palatino Linotype" w:hAnsi="Palatino Linotype"/>
          <w:lang w:val="id-ID"/>
        </w:rPr>
      </w:pPr>
      <w:r>
        <w:rPr>
          <w:rStyle w:val="FootnoteReference"/>
        </w:rPr>
        <w:footnoteRef/>
      </w:r>
      <w:r>
        <w:t xml:space="preserve"> </w:t>
      </w:r>
      <w:r>
        <w:rPr>
          <w:rFonts w:ascii="Palatino Linotype" w:hAnsi="Palatino Linotype"/>
          <w:lang w:val="id-ID"/>
        </w:rPr>
        <w:t xml:space="preserve">Anthony A. Hoekema, </w:t>
      </w:r>
      <w:r>
        <w:rPr>
          <w:rFonts w:ascii="Palatino Linotype" w:hAnsi="Palatino Linotype"/>
          <w:i/>
          <w:iCs/>
          <w:lang w:val="id-ID"/>
        </w:rPr>
        <w:t xml:space="preserve">The Bible and the </w:t>
      </w:r>
      <w:r>
        <w:rPr>
          <w:rFonts w:ascii="Palatino Linotype" w:hAnsi="Palatino Linotype"/>
          <w:lang w:val="id-ID"/>
        </w:rPr>
        <w:t>(Frand Rapids: Eerdmans, 1979), 103-108.</w:t>
      </w:r>
    </w:p>
  </w:footnote>
  <w:footnote w:id="15">
    <w:p w14:paraId="1F121E04" w14:textId="43E109ED" w:rsidR="003E249B" w:rsidRPr="003E249B" w:rsidRDefault="003E249B" w:rsidP="003E0B6E">
      <w:pPr>
        <w:pStyle w:val="FootnoteText"/>
        <w:ind w:firstLine="709"/>
        <w:rPr>
          <w:rFonts w:ascii="Palatino Linotype" w:hAnsi="Palatino Linotype"/>
          <w:lang w:val="id-ID"/>
        </w:rPr>
      </w:pPr>
      <w:r>
        <w:rPr>
          <w:rStyle w:val="FootnoteReference"/>
        </w:rPr>
        <w:footnoteRef/>
      </w:r>
      <w:r>
        <w:t xml:space="preserve"> </w:t>
      </w:r>
      <w:r>
        <w:rPr>
          <w:rFonts w:ascii="Palatino Linotype" w:hAnsi="Palatino Linotype"/>
          <w:lang w:val="id-ID"/>
        </w:rPr>
        <w:t xml:space="preserve">Hoekema, </w:t>
      </w:r>
      <w:r>
        <w:rPr>
          <w:rFonts w:ascii="Palatino Linotype" w:hAnsi="Palatino Linotype"/>
          <w:i/>
          <w:iCs/>
          <w:lang w:val="id-ID"/>
        </w:rPr>
        <w:t xml:space="preserve">The Bible and The Future, </w:t>
      </w:r>
      <w:r>
        <w:rPr>
          <w:rFonts w:ascii="Palatino Linotype" w:hAnsi="Palatino Linotype"/>
          <w:lang w:val="id-ID"/>
        </w:rPr>
        <w:t>95-100.</w:t>
      </w:r>
    </w:p>
  </w:footnote>
  <w:footnote w:id="16">
    <w:p w14:paraId="300B5593" w14:textId="5AD436B0" w:rsidR="003E249B" w:rsidRPr="003E0B6E" w:rsidRDefault="003E249B" w:rsidP="003E0B6E">
      <w:pPr>
        <w:pStyle w:val="FootnoteText"/>
        <w:ind w:firstLine="709"/>
        <w:rPr>
          <w:rFonts w:ascii="Palatino Linotype" w:hAnsi="Palatino Linotype"/>
          <w:lang w:val="id-ID"/>
        </w:rPr>
      </w:pPr>
      <w:r>
        <w:rPr>
          <w:rStyle w:val="FootnoteReference"/>
        </w:rPr>
        <w:footnoteRef/>
      </w:r>
      <w:r>
        <w:t xml:space="preserve"> </w:t>
      </w:r>
      <w:r>
        <w:rPr>
          <w:rFonts w:ascii="Palatino Linotype" w:hAnsi="Palatino Linotype"/>
          <w:lang w:val="id-ID"/>
        </w:rPr>
        <w:t xml:space="preserve">Berkhof, </w:t>
      </w:r>
      <w:r w:rsidR="003E0B6E">
        <w:rPr>
          <w:rFonts w:ascii="Palatino Linotype" w:hAnsi="Palatino Linotype"/>
          <w:i/>
          <w:iCs/>
          <w:lang w:val="id-ID"/>
        </w:rPr>
        <w:t>Systematic Theologi</w:t>
      </w:r>
      <w:r w:rsidR="003E0B6E">
        <w:rPr>
          <w:rFonts w:ascii="Palatino Linotype" w:hAnsi="Palatino Linotype"/>
          <w:lang w:val="id-ID"/>
        </w:rPr>
        <w:t>, 720-722.</w:t>
      </w:r>
    </w:p>
  </w:footnote>
  <w:footnote w:id="17">
    <w:p w14:paraId="0506349E" w14:textId="5075E88C" w:rsidR="003E0B6E" w:rsidRPr="003E0B6E" w:rsidRDefault="003E0B6E" w:rsidP="003E0B6E">
      <w:pPr>
        <w:pStyle w:val="FootnoteText"/>
        <w:ind w:firstLine="709"/>
        <w:rPr>
          <w:rFonts w:ascii="Palatino Linotype" w:hAnsi="Palatino Linotype"/>
          <w:lang w:val="id-ID"/>
        </w:rPr>
      </w:pPr>
      <w:r>
        <w:rPr>
          <w:rStyle w:val="FootnoteReference"/>
        </w:rPr>
        <w:footnoteRef/>
      </w:r>
      <w:r>
        <w:t xml:space="preserve"> </w:t>
      </w:r>
      <w:r>
        <w:rPr>
          <w:rFonts w:ascii="Palatino Linotype" w:hAnsi="Palatino Linotype"/>
          <w:lang w:val="id-ID"/>
        </w:rPr>
        <w:t xml:space="preserve">Grudem, </w:t>
      </w:r>
      <w:r>
        <w:rPr>
          <w:rFonts w:ascii="Palatino Linotype" w:hAnsi="Palatino Linotype"/>
          <w:i/>
          <w:iCs/>
          <w:lang w:val="id-ID"/>
        </w:rPr>
        <w:t xml:space="preserve">Systematic Theologi, </w:t>
      </w:r>
      <w:r w:rsidRPr="003E0B6E">
        <w:rPr>
          <w:rFonts w:ascii="Palatino Linotype" w:hAnsi="Palatino Linotype"/>
          <w:lang w:val="id-ID"/>
        </w:rPr>
        <w:t>812-815.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170"/>
      <w:gridCol w:w="7851"/>
    </w:tblGrid>
    <w:tr w:rsidR="007704FA" w:rsidRPr="00A520D1" w14:paraId="1ADBA58C" w14:textId="77777777" w:rsidTr="00FF0DF4">
      <w:trPr>
        <w:trHeight w:val="980"/>
      </w:trPr>
      <w:tc>
        <w:tcPr>
          <w:tcW w:w="1170" w:type="dxa"/>
        </w:tcPr>
        <w:p w14:paraId="5F4BE225" w14:textId="77777777" w:rsidR="007704FA" w:rsidRPr="00A520D1" w:rsidRDefault="007704FA" w:rsidP="00222498">
          <w:pPr>
            <w:pStyle w:val="Header"/>
            <w:rPr>
              <w:rFonts w:ascii="Palatino Linotype" w:hAnsi="Palatino Linotype" w:cstheme="minorHAnsi"/>
              <w:b/>
              <w:bCs/>
              <w:sz w:val="28"/>
              <w:szCs w:val="28"/>
            </w:rPr>
          </w:pPr>
          <w:r>
            <w:rPr>
              <w:noProof/>
              <w:lang w:val="en-US"/>
            </w:rPr>
            <w:drawing>
              <wp:anchor distT="0" distB="0" distL="114300" distR="114300" simplePos="0" relativeHeight="251659264" behindDoc="0" locked="0" layoutInCell="1" allowOverlap="1" wp14:anchorId="2E37657D" wp14:editId="1E3D2D00">
                <wp:simplePos x="0" y="0"/>
                <wp:positionH relativeFrom="column">
                  <wp:posOffset>-57435</wp:posOffset>
                </wp:positionH>
                <wp:positionV relativeFrom="paragraph">
                  <wp:posOffset>-20320</wp:posOffset>
                </wp:positionV>
                <wp:extent cx="765810" cy="765810"/>
                <wp:effectExtent l="0" t="0" r="0" b="0"/>
                <wp:wrapNone/>
                <wp:docPr id="1121073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1" w:type="dxa"/>
          <w:vAlign w:val="center"/>
        </w:tcPr>
        <w:p w14:paraId="7D2F9E13" w14:textId="77777777" w:rsidR="007704FA" w:rsidRPr="00FF0DF4" w:rsidRDefault="007704FA" w:rsidP="00FF0DF4">
          <w:pPr>
            <w:pStyle w:val="Header"/>
            <w:rPr>
              <w:rFonts w:ascii="Palatino Linotype" w:hAnsi="Palatino Linotype" w:cstheme="minorHAnsi"/>
              <w:b/>
              <w:bCs/>
              <w:sz w:val="36"/>
              <w:szCs w:val="36"/>
            </w:rPr>
          </w:pPr>
          <w:r w:rsidRPr="00FF0DF4">
            <w:rPr>
              <w:rFonts w:ascii="Palatino Linotype" w:hAnsi="Palatino Linotype" w:cstheme="minorHAnsi"/>
              <w:b/>
              <w:bCs/>
              <w:sz w:val="36"/>
              <w:szCs w:val="36"/>
            </w:rPr>
            <w:t>Jurnal Agora</w:t>
          </w:r>
        </w:p>
        <w:p w14:paraId="26D029AD" w14:textId="77777777" w:rsidR="007704FA" w:rsidRPr="00FF0DF4" w:rsidRDefault="007704FA" w:rsidP="00FF0DF4">
          <w:pPr>
            <w:pStyle w:val="Header"/>
            <w:rPr>
              <w:i/>
              <w:iCs/>
            </w:rPr>
          </w:pPr>
          <w:r w:rsidRPr="00FF0DF4">
            <w:rPr>
              <w:i/>
              <w:iCs/>
            </w:rPr>
            <w:t>Jurnal teologi dan Pendidikan agama Kristen</w:t>
          </w:r>
        </w:p>
      </w:tc>
    </w:tr>
  </w:tbl>
  <w:p w14:paraId="776A9B36" w14:textId="77777777" w:rsidR="007704FA" w:rsidRPr="00A520D1" w:rsidRDefault="007704FA" w:rsidP="00A520D1">
    <w:pPr>
      <w:pStyle w:val="Header"/>
    </w:pPr>
    <w:r>
      <w:rPr>
        <w:noProof/>
        <w:lang w:val="en-US"/>
      </w:rPr>
      <mc:AlternateContent>
        <mc:Choice Requires="wps">
          <w:drawing>
            <wp:anchor distT="0" distB="0" distL="114300" distR="114300" simplePos="0" relativeHeight="251660288" behindDoc="0" locked="0" layoutInCell="1" allowOverlap="1" wp14:anchorId="2BF42282" wp14:editId="4FDC8FF8">
              <wp:simplePos x="0" y="0"/>
              <wp:positionH relativeFrom="column">
                <wp:posOffset>0</wp:posOffset>
              </wp:positionH>
              <wp:positionV relativeFrom="paragraph">
                <wp:posOffset>88477</wp:posOffset>
              </wp:positionV>
              <wp:extent cx="5727700" cy="0"/>
              <wp:effectExtent l="0" t="0" r="0" b="0"/>
              <wp:wrapNone/>
              <wp:docPr id="2107858225" name="Straight Connector 5"/>
              <wp:cNvGraphicFramePr/>
              <a:graphic xmlns:a="http://schemas.openxmlformats.org/drawingml/2006/main">
                <a:graphicData uri="http://schemas.microsoft.com/office/word/2010/wordprocessingShape">
                  <wps:wsp>
                    <wps:cNvCnPr/>
                    <wps:spPr>
                      <a:xfrm>
                        <a:off x="0" y="0"/>
                        <a:ext cx="5727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25E868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6.95pt" to="45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HVuwEAAN4DAAAOAAAAZHJzL2Uyb0RvYy54bWysU8Fu3CAQvVfqPyDuXXtXSre11ptDouRS&#10;NVHbfADBwxoJGAR07f37DHjXjtKqUqteMAzz3rx5jHfXozXsCCFqdC1fr2rOwEnstDu0/OnH3YdP&#10;nMUkXCcMOmj5CSK/3r9/txt8Axvs0XQQGJG42Ay+5X1KvqmqKHuwIq7Qg6NLhcGKRMdwqLogBmK3&#10;ptrU9cdqwND5gBJipOjtdMn3hV8pkOlBqQiJmZaTtlTWUNbnvFb7nWgOQfhey7MM8Q8qrNCOis5U&#10;tyIJ9jPoX6islgEjqrSSaCtUSksoPVA36/pNN9974aH0QuZEP9sU/x+t/Hq8cY+BbBh8bKJ/DLmL&#10;UQWbv6SPjcWs02wWjIlJCl5tN9ttTZ7Ky121AH2I6R7QsrxpudEu9yEacfwSExWj1EtKDhvHBpqe&#10;z/VVXdIiGt3daWPyZZkFuDGBHQW9YhrX+dWI4VUWnYyj4NJE2aWTgYn/GyimO5K9ngrk+Vo4hZTg&#10;0oXXOMrOMEUKZuBZ2Z+A5/wMhTJ7fwOeEaUyujSDrXYYfid7sUJN+RcHpr6zBc/YncrzFmtoiIpz&#10;54HPU/r6XODLb7l/AQAA//8DAFBLAwQUAAYACAAAACEAPuTtftsAAAAGAQAADwAAAGRycy9kb3du&#10;cmV2LnhtbEyPwU7DMAyG70i8Q2QkLhNLNySgpekEFUjcgG0aV6/x2kLjVE22FZ4eIw5w9Pdbvz/n&#10;i9F16kBDaD0bmE0TUMSVty3XBtarx4sbUCEiW+w8k4FPCrAoTk9yzKw/8isdlrFWUsIhQwNNjH2m&#10;dagachimvieWbOcHh1HGodZ2wKOUu07Pk+RKO2xZLjTYU9lQ9bHcOwO753Rz/zYpXx5W7um6nNXv&#10;YTJ+GXN+Nt7dgoo0xr9l+NEXdSjEaev3bIPqDMgjUehlCkrSNJkL2P4CXeT6v37xDQAA//8DAFBL&#10;AQItABQABgAIAAAAIQC2gziS/gAAAOEBAAATAAAAAAAAAAAAAAAAAAAAAABbQ29udGVudF9UeXBl&#10;c10ueG1sUEsBAi0AFAAGAAgAAAAhADj9If/WAAAAlAEAAAsAAAAAAAAAAAAAAAAALwEAAF9yZWxz&#10;Ly5yZWxzUEsBAi0AFAAGAAgAAAAhAByLAdW7AQAA3gMAAA4AAAAAAAAAAAAAAAAALgIAAGRycy9l&#10;Mm9Eb2MueG1sUEsBAi0AFAAGAAgAAAAhAD7k7X7bAAAABgEAAA8AAAAAAAAAAAAAAAAAFQQAAGRy&#10;cy9kb3ducmV2LnhtbFBLBQYAAAAABAAEAPMAAAAdBQAAAAA=&#10;" strokecolor="black [3213]"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07E46"/>
    <w:multiLevelType w:val="multilevel"/>
    <w:tmpl w:val="553A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134C80"/>
    <w:multiLevelType w:val="multilevel"/>
    <w:tmpl w:val="105E4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247FD1"/>
    <w:multiLevelType w:val="multilevel"/>
    <w:tmpl w:val="A7D6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5E7AEC"/>
    <w:multiLevelType w:val="multilevel"/>
    <w:tmpl w:val="E644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92F9B"/>
    <w:multiLevelType w:val="multilevel"/>
    <w:tmpl w:val="19A8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3318ED"/>
    <w:multiLevelType w:val="multilevel"/>
    <w:tmpl w:val="C37A9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B249E3"/>
    <w:multiLevelType w:val="multilevel"/>
    <w:tmpl w:val="8816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96305D"/>
    <w:multiLevelType w:val="multilevel"/>
    <w:tmpl w:val="3CDA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8A7570"/>
    <w:multiLevelType w:val="multilevel"/>
    <w:tmpl w:val="184A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BF3176"/>
    <w:multiLevelType w:val="multilevel"/>
    <w:tmpl w:val="93B4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5343F2"/>
    <w:multiLevelType w:val="multilevel"/>
    <w:tmpl w:val="CFA4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EA7F1C"/>
    <w:multiLevelType w:val="multilevel"/>
    <w:tmpl w:val="4E543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051D79"/>
    <w:multiLevelType w:val="multilevel"/>
    <w:tmpl w:val="A6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653D77"/>
    <w:multiLevelType w:val="multilevel"/>
    <w:tmpl w:val="7A22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8"/>
  </w:num>
  <w:num w:numId="4">
    <w:abstractNumId w:val="13"/>
  </w:num>
  <w:num w:numId="5">
    <w:abstractNumId w:val="1"/>
  </w:num>
  <w:num w:numId="6">
    <w:abstractNumId w:val="2"/>
  </w:num>
  <w:num w:numId="7">
    <w:abstractNumId w:val="9"/>
  </w:num>
  <w:num w:numId="8">
    <w:abstractNumId w:val="6"/>
  </w:num>
  <w:num w:numId="9">
    <w:abstractNumId w:val="12"/>
  </w:num>
  <w:num w:numId="10">
    <w:abstractNumId w:val="11"/>
  </w:num>
  <w:num w:numId="11">
    <w:abstractNumId w:val="3"/>
  </w:num>
  <w:num w:numId="12">
    <w:abstractNumId w:val="4"/>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FA"/>
    <w:rsid w:val="000147EA"/>
    <w:rsid w:val="00017B61"/>
    <w:rsid w:val="0007529E"/>
    <w:rsid w:val="00086934"/>
    <w:rsid w:val="00096C84"/>
    <w:rsid w:val="000C3FF5"/>
    <w:rsid w:val="000D4203"/>
    <w:rsid w:val="0011118E"/>
    <w:rsid w:val="0012271A"/>
    <w:rsid w:val="00152384"/>
    <w:rsid w:val="00190400"/>
    <w:rsid w:val="001A54A8"/>
    <w:rsid w:val="001F2E9C"/>
    <w:rsid w:val="00271725"/>
    <w:rsid w:val="002D3CC9"/>
    <w:rsid w:val="002E163B"/>
    <w:rsid w:val="002F1A59"/>
    <w:rsid w:val="00315508"/>
    <w:rsid w:val="00316FEF"/>
    <w:rsid w:val="0036252A"/>
    <w:rsid w:val="00387911"/>
    <w:rsid w:val="00391D5D"/>
    <w:rsid w:val="003A59E6"/>
    <w:rsid w:val="003E0B6E"/>
    <w:rsid w:val="003E249B"/>
    <w:rsid w:val="00407226"/>
    <w:rsid w:val="00441FCC"/>
    <w:rsid w:val="00473BA4"/>
    <w:rsid w:val="004C297C"/>
    <w:rsid w:val="004D6D30"/>
    <w:rsid w:val="004E580C"/>
    <w:rsid w:val="00516AA4"/>
    <w:rsid w:val="00523E46"/>
    <w:rsid w:val="00526E29"/>
    <w:rsid w:val="00572A6D"/>
    <w:rsid w:val="00593492"/>
    <w:rsid w:val="00635F55"/>
    <w:rsid w:val="006D39A0"/>
    <w:rsid w:val="007151A1"/>
    <w:rsid w:val="00733827"/>
    <w:rsid w:val="00746B1F"/>
    <w:rsid w:val="007704FA"/>
    <w:rsid w:val="007A01CE"/>
    <w:rsid w:val="007B557C"/>
    <w:rsid w:val="007F47B5"/>
    <w:rsid w:val="00812D71"/>
    <w:rsid w:val="00836451"/>
    <w:rsid w:val="008565E2"/>
    <w:rsid w:val="00862143"/>
    <w:rsid w:val="0086331D"/>
    <w:rsid w:val="008E3861"/>
    <w:rsid w:val="008F3D95"/>
    <w:rsid w:val="009116DB"/>
    <w:rsid w:val="00943C5B"/>
    <w:rsid w:val="00964896"/>
    <w:rsid w:val="00974C37"/>
    <w:rsid w:val="009B39BE"/>
    <w:rsid w:val="009C3E79"/>
    <w:rsid w:val="00A5069E"/>
    <w:rsid w:val="00A55672"/>
    <w:rsid w:val="00A71110"/>
    <w:rsid w:val="00A80F03"/>
    <w:rsid w:val="00A9749F"/>
    <w:rsid w:val="00AE128C"/>
    <w:rsid w:val="00AF2857"/>
    <w:rsid w:val="00B51171"/>
    <w:rsid w:val="00B61E1E"/>
    <w:rsid w:val="00B81381"/>
    <w:rsid w:val="00C304E0"/>
    <w:rsid w:val="00C34449"/>
    <w:rsid w:val="00C4621B"/>
    <w:rsid w:val="00C60622"/>
    <w:rsid w:val="00C85A3F"/>
    <w:rsid w:val="00C87C73"/>
    <w:rsid w:val="00CC0366"/>
    <w:rsid w:val="00D2025D"/>
    <w:rsid w:val="00D30545"/>
    <w:rsid w:val="00D32304"/>
    <w:rsid w:val="00D93C6B"/>
    <w:rsid w:val="00DB4BA8"/>
    <w:rsid w:val="00DE648C"/>
    <w:rsid w:val="00DF7C42"/>
    <w:rsid w:val="00E351C3"/>
    <w:rsid w:val="00E379B2"/>
    <w:rsid w:val="00E54D6B"/>
    <w:rsid w:val="00EB0588"/>
    <w:rsid w:val="00EF68F1"/>
    <w:rsid w:val="00F446E2"/>
    <w:rsid w:val="00F716B3"/>
    <w:rsid w:val="00F72DEA"/>
    <w:rsid w:val="00F96A48"/>
    <w:rsid w:val="00FA71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D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FA"/>
  </w:style>
  <w:style w:type="paragraph" w:styleId="Heading1">
    <w:name w:val="heading 1"/>
    <w:basedOn w:val="Normal"/>
    <w:next w:val="Normal"/>
    <w:link w:val="Heading1Char"/>
    <w:uiPriority w:val="9"/>
    <w:qFormat/>
    <w:rsid w:val="00770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0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04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4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4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4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04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4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4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4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4FA"/>
    <w:rPr>
      <w:rFonts w:eastAsiaTheme="majorEastAsia" w:cstheme="majorBidi"/>
      <w:color w:val="272727" w:themeColor="text1" w:themeTint="D8"/>
    </w:rPr>
  </w:style>
  <w:style w:type="paragraph" w:styleId="Title">
    <w:name w:val="Title"/>
    <w:basedOn w:val="Normal"/>
    <w:next w:val="Normal"/>
    <w:link w:val="TitleChar"/>
    <w:uiPriority w:val="10"/>
    <w:qFormat/>
    <w:rsid w:val="00770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4FA"/>
    <w:pPr>
      <w:spacing w:before="160"/>
      <w:jc w:val="center"/>
    </w:pPr>
    <w:rPr>
      <w:i/>
      <w:iCs/>
      <w:color w:val="404040" w:themeColor="text1" w:themeTint="BF"/>
    </w:rPr>
  </w:style>
  <w:style w:type="character" w:customStyle="1" w:styleId="QuoteChar">
    <w:name w:val="Quote Char"/>
    <w:basedOn w:val="DefaultParagraphFont"/>
    <w:link w:val="Quote"/>
    <w:uiPriority w:val="29"/>
    <w:rsid w:val="007704FA"/>
    <w:rPr>
      <w:i/>
      <w:iCs/>
      <w:color w:val="404040" w:themeColor="text1" w:themeTint="BF"/>
    </w:rPr>
  </w:style>
  <w:style w:type="paragraph" w:styleId="ListParagraph">
    <w:name w:val="List Paragraph"/>
    <w:basedOn w:val="Normal"/>
    <w:uiPriority w:val="34"/>
    <w:qFormat/>
    <w:rsid w:val="007704FA"/>
    <w:pPr>
      <w:ind w:left="720"/>
      <w:contextualSpacing/>
    </w:pPr>
  </w:style>
  <w:style w:type="character" w:styleId="IntenseEmphasis">
    <w:name w:val="Intense Emphasis"/>
    <w:basedOn w:val="DefaultParagraphFont"/>
    <w:uiPriority w:val="21"/>
    <w:qFormat/>
    <w:rsid w:val="007704FA"/>
    <w:rPr>
      <w:i/>
      <w:iCs/>
      <w:color w:val="2F5496" w:themeColor="accent1" w:themeShade="BF"/>
    </w:rPr>
  </w:style>
  <w:style w:type="paragraph" w:styleId="IntenseQuote">
    <w:name w:val="Intense Quote"/>
    <w:basedOn w:val="Normal"/>
    <w:next w:val="Normal"/>
    <w:link w:val="IntenseQuoteChar"/>
    <w:uiPriority w:val="30"/>
    <w:qFormat/>
    <w:rsid w:val="00770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4FA"/>
    <w:rPr>
      <w:i/>
      <w:iCs/>
      <w:color w:val="2F5496" w:themeColor="accent1" w:themeShade="BF"/>
    </w:rPr>
  </w:style>
  <w:style w:type="character" w:styleId="IntenseReference">
    <w:name w:val="Intense Reference"/>
    <w:basedOn w:val="DefaultParagraphFont"/>
    <w:uiPriority w:val="32"/>
    <w:qFormat/>
    <w:rsid w:val="007704FA"/>
    <w:rPr>
      <w:b/>
      <w:bCs/>
      <w:smallCaps/>
      <w:color w:val="2F5496" w:themeColor="accent1" w:themeShade="BF"/>
      <w:spacing w:val="5"/>
    </w:rPr>
  </w:style>
  <w:style w:type="character" w:styleId="Hyperlink">
    <w:name w:val="Hyperlink"/>
    <w:basedOn w:val="DefaultParagraphFont"/>
    <w:uiPriority w:val="99"/>
    <w:unhideWhenUsed/>
    <w:rsid w:val="007704FA"/>
    <w:rPr>
      <w:color w:val="0563C1" w:themeColor="hyperlink"/>
      <w:u w:val="single"/>
    </w:rPr>
  </w:style>
  <w:style w:type="paragraph" w:styleId="Header">
    <w:name w:val="header"/>
    <w:basedOn w:val="Normal"/>
    <w:link w:val="HeaderChar"/>
    <w:uiPriority w:val="99"/>
    <w:unhideWhenUsed/>
    <w:rsid w:val="00770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4FA"/>
  </w:style>
  <w:style w:type="paragraph" w:styleId="Footer">
    <w:name w:val="footer"/>
    <w:basedOn w:val="Normal"/>
    <w:link w:val="FooterChar"/>
    <w:uiPriority w:val="99"/>
    <w:unhideWhenUsed/>
    <w:rsid w:val="00770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4FA"/>
  </w:style>
  <w:style w:type="paragraph" w:styleId="FootnoteText">
    <w:name w:val="footnote text"/>
    <w:basedOn w:val="Normal"/>
    <w:link w:val="FootnoteTextChar"/>
    <w:uiPriority w:val="99"/>
    <w:semiHidden/>
    <w:unhideWhenUsed/>
    <w:rsid w:val="00E54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D6B"/>
    <w:rPr>
      <w:sz w:val="20"/>
      <w:szCs w:val="20"/>
    </w:rPr>
  </w:style>
  <w:style w:type="character" w:styleId="FootnoteReference">
    <w:name w:val="footnote reference"/>
    <w:basedOn w:val="DefaultParagraphFont"/>
    <w:uiPriority w:val="99"/>
    <w:semiHidden/>
    <w:unhideWhenUsed/>
    <w:rsid w:val="00E54D6B"/>
    <w:rPr>
      <w:vertAlign w:val="superscript"/>
    </w:rPr>
  </w:style>
  <w:style w:type="paragraph" w:styleId="Bibliography">
    <w:name w:val="Bibliography"/>
    <w:basedOn w:val="Normal"/>
    <w:next w:val="Normal"/>
    <w:uiPriority w:val="37"/>
    <w:unhideWhenUsed/>
    <w:rsid w:val="00516AA4"/>
    <w:pPr>
      <w:spacing w:after="24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FA"/>
  </w:style>
  <w:style w:type="paragraph" w:styleId="Heading1">
    <w:name w:val="heading 1"/>
    <w:basedOn w:val="Normal"/>
    <w:next w:val="Normal"/>
    <w:link w:val="Heading1Char"/>
    <w:uiPriority w:val="9"/>
    <w:qFormat/>
    <w:rsid w:val="00770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0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04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4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4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4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04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4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4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4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4FA"/>
    <w:rPr>
      <w:rFonts w:eastAsiaTheme="majorEastAsia" w:cstheme="majorBidi"/>
      <w:color w:val="272727" w:themeColor="text1" w:themeTint="D8"/>
    </w:rPr>
  </w:style>
  <w:style w:type="paragraph" w:styleId="Title">
    <w:name w:val="Title"/>
    <w:basedOn w:val="Normal"/>
    <w:next w:val="Normal"/>
    <w:link w:val="TitleChar"/>
    <w:uiPriority w:val="10"/>
    <w:qFormat/>
    <w:rsid w:val="00770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4FA"/>
    <w:pPr>
      <w:spacing w:before="160"/>
      <w:jc w:val="center"/>
    </w:pPr>
    <w:rPr>
      <w:i/>
      <w:iCs/>
      <w:color w:val="404040" w:themeColor="text1" w:themeTint="BF"/>
    </w:rPr>
  </w:style>
  <w:style w:type="character" w:customStyle="1" w:styleId="QuoteChar">
    <w:name w:val="Quote Char"/>
    <w:basedOn w:val="DefaultParagraphFont"/>
    <w:link w:val="Quote"/>
    <w:uiPriority w:val="29"/>
    <w:rsid w:val="007704FA"/>
    <w:rPr>
      <w:i/>
      <w:iCs/>
      <w:color w:val="404040" w:themeColor="text1" w:themeTint="BF"/>
    </w:rPr>
  </w:style>
  <w:style w:type="paragraph" w:styleId="ListParagraph">
    <w:name w:val="List Paragraph"/>
    <w:basedOn w:val="Normal"/>
    <w:uiPriority w:val="34"/>
    <w:qFormat/>
    <w:rsid w:val="007704FA"/>
    <w:pPr>
      <w:ind w:left="720"/>
      <w:contextualSpacing/>
    </w:pPr>
  </w:style>
  <w:style w:type="character" w:styleId="IntenseEmphasis">
    <w:name w:val="Intense Emphasis"/>
    <w:basedOn w:val="DefaultParagraphFont"/>
    <w:uiPriority w:val="21"/>
    <w:qFormat/>
    <w:rsid w:val="007704FA"/>
    <w:rPr>
      <w:i/>
      <w:iCs/>
      <w:color w:val="2F5496" w:themeColor="accent1" w:themeShade="BF"/>
    </w:rPr>
  </w:style>
  <w:style w:type="paragraph" w:styleId="IntenseQuote">
    <w:name w:val="Intense Quote"/>
    <w:basedOn w:val="Normal"/>
    <w:next w:val="Normal"/>
    <w:link w:val="IntenseQuoteChar"/>
    <w:uiPriority w:val="30"/>
    <w:qFormat/>
    <w:rsid w:val="00770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4FA"/>
    <w:rPr>
      <w:i/>
      <w:iCs/>
      <w:color w:val="2F5496" w:themeColor="accent1" w:themeShade="BF"/>
    </w:rPr>
  </w:style>
  <w:style w:type="character" w:styleId="IntenseReference">
    <w:name w:val="Intense Reference"/>
    <w:basedOn w:val="DefaultParagraphFont"/>
    <w:uiPriority w:val="32"/>
    <w:qFormat/>
    <w:rsid w:val="007704FA"/>
    <w:rPr>
      <w:b/>
      <w:bCs/>
      <w:smallCaps/>
      <w:color w:val="2F5496" w:themeColor="accent1" w:themeShade="BF"/>
      <w:spacing w:val="5"/>
    </w:rPr>
  </w:style>
  <w:style w:type="character" w:styleId="Hyperlink">
    <w:name w:val="Hyperlink"/>
    <w:basedOn w:val="DefaultParagraphFont"/>
    <w:uiPriority w:val="99"/>
    <w:unhideWhenUsed/>
    <w:rsid w:val="007704FA"/>
    <w:rPr>
      <w:color w:val="0563C1" w:themeColor="hyperlink"/>
      <w:u w:val="single"/>
    </w:rPr>
  </w:style>
  <w:style w:type="paragraph" w:styleId="Header">
    <w:name w:val="header"/>
    <w:basedOn w:val="Normal"/>
    <w:link w:val="HeaderChar"/>
    <w:uiPriority w:val="99"/>
    <w:unhideWhenUsed/>
    <w:rsid w:val="00770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4FA"/>
  </w:style>
  <w:style w:type="paragraph" w:styleId="Footer">
    <w:name w:val="footer"/>
    <w:basedOn w:val="Normal"/>
    <w:link w:val="FooterChar"/>
    <w:uiPriority w:val="99"/>
    <w:unhideWhenUsed/>
    <w:rsid w:val="00770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4FA"/>
  </w:style>
  <w:style w:type="paragraph" w:styleId="FootnoteText">
    <w:name w:val="footnote text"/>
    <w:basedOn w:val="Normal"/>
    <w:link w:val="FootnoteTextChar"/>
    <w:uiPriority w:val="99"/>
    <w:semiHidden/>
    <w:unhideWhenUsed/>
    <w:rsid w:val="00E54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D6B"/>
    <w:rPr>
      <w:sz w:val="20"/>
      <w:szCs w:val="20"/>
    </w:rPr>
  </w:style>
  <w:style w:type="character" w:styleId="FootnoteReference">
    <w:name w:val="footnote reference"/>
    <w:basedOn w:val="DefaultParagraphFont"/>
    <w:uiPriority w:val="99"/>
    <w:semiHidden/>
    <w:unhideWhenUsed/>
    <w:rsid w:val="00E54D6B"/>
    <w:rPr>
      <w:vertAlign w:val="superscript"/>
    </w:rPr>
  </w:style>
  <w:style w:type="paragraph" w:styleId="Bibliography">
    <w:name w:val="Bibliography"/>
    <w:basedOn w:val="Normal"/>
    <w:next w:val="Normal"/>
    <w:uiPriority w:val="37"/>
    <w:unhideWhenUsed/>
    <w:rsid w:val="00516AA4"/>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benhezerplaim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2EE6B-8E5E-47FC-B86F-2D05EFD2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13</Pages>
  <Words>4504</Words>
  <Characters>25679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 Imanuel Lakapu</dc:creator>
  <cp:keywords/>
  <dc:description/>
  <cp:lastModifiedBy>ASUS</cp:lastModifiedBy>
  <cp:revision>31</cp:revision>
  <dcterms:created xsi:type="dcterms:W3CDTF">2026-01-23T02:21:00Z</dcterms:created>
  <dcterms:modified xsi:type="dcterms:W3CDTF">2026-02-27T00:20:00Z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zotero-version="8.0.3"&gt;&lt;session id="cucLawJD"/&gt;&lt;style id="http://www.zotero.org/styles/turabian-shortened-notes-bibliography-subsequent-author" hasBibliography="1" bibliographyStyleHasBeenSet="1"/&gt;&lt;prefs&gt;&lt;pref name="fieldType" value</vt:lpwstr>
  </property>
  <property fmtid="{D5CDD505-2E9C-101B-9397-08002B2CF9AE}" pid="3" name="ZOTERO_PREF_2">
    <vt:lpwstr>="Field"/&gt;&lt;pref name="automaticJournalAbbreviations" value="true"/&gt;&lt;pref name="noteType" value="1"/&gt;&lt;/prefs&gt;&lt;/data&gt;</vt:lpwstr>
  </property>
</Properties>
</file>