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33" w:rsidRPr="00C35477" w:rsidRDefault="00166433" w:rsidP="000C4D50">
      <w:pPr>
        <w:spacing w:after="0" w:line="240" w:lineRule="auto"/>
        <w:jc w:val="center"/>
        <w:rPr>
          <w:rFonts w:ascii="Palatino Linotype" w:eastAsia="Times New Roman" w:hAnsi="Palatino Linotype" w:cs="Times New Roman"/>
          <w:b/>
          <w:bCs/>
          <w:sz w:val="24"/>
          <w:szCs w:val="24"/>
          <w:lang w:eastAsia="id-ID"/>
        </w:rPr>
      </w:pPr>
      <w:r w:rsidRPr="00C35477">
        <w:rPr>
          <w:rFonts w:ascii="Palatino Linotype" w:eastAsia="Times New Roman" w:hAnsi="Palatino Linotype" w:cs="Times New Roman"/>
          <w:b/>
          <w:bCs/>
          <w:sz w:val="24"/>
          <w:szCs w:val="24"/>
          <w:lang w:eastAsia="id-ID"/>
        </w:rPr>
        <w:t>Peran Gereja dalam Mewujudkan Keadilan Sosial</w:t>
      </w:r>
    </w:p>
    <w:p w:rsidR="00166433" w:rsidRPr="00C35477" w:rsidRDefault="00166433" w:rsidP="000C4D50">
      <w:pPr>
        <w:spacing w:after="0" w:line="240" w:lineRule="auto"/>
        <w:jc w:val="center"/>
        <w:rPr>
          <w:rFonts w:ascii="Palatino Linotype" w:eastAsia="Times New Roman" w:hAnsi="Palatino Linotype" w:cs="Times New Roman"/>
          <w:b/>
          <w:bCs/>
          <w:sz w:val="24"/>
          <w:szCs w:val="24"/>
          <w:lang w:eastAsia="id-ID"/>
        </w:rPr>
      </w:pPr>
      <w:r w:rsidRPr="00C35477">
        <w:rPr>
          <w:rFonts w:ascii="Palatino Linotype" w:eastAsia="Times New Roman" w:hAnsi="Palatino Linotype" w:cs="Times New Roman"/>
          <w:b/>
          <w:bCs/>
          <w:sz w:val="24"/>
          <w:szCs w:val="24"/>
          <w:lang w:eastAsia="id-ID"/>
        </w:rPr>
        <w:t>Berdasarkan Eksposisi Yesaya 1:17</w:t>
      </w:r>
    </w:p>
    <w:p w:rsidR="00166433" w:rsidRPr="00C35477" w:rsidRDefault="00166433" w:rsidP="000C4D50">
      <w:pPr>
        <w:spacing w:after="0" w:line="240" w:lineRule="auto"/>
        <w:jc w:val="center"/>
        <w:rPr>
          <w:rFonts w:ascii="Palatino Linotype" w:eastAsia="Times New Roman" w:hAnsi="Palatino Linotype" w:cs="Times New Roman"/>
          <w:sz w:val="24"/>
          <w:szCs w:val="24"/>
          <w:lang w:eastAsia="id-ID"/>
        </w:rPr>
      </w:pPr>
    </w:p>
    <w:p w:rsidR="00166433" w:rsidRPr="00C35477" w:rsidRDefault="00166433" w:rsidP="000C4D50">
      <w:pPr>
        <w:spacing w:after="0" w:line="240" w:lineRule="auto"/>
        <w:jc w:val="center"/>
        <w:rPr>
          <w:rFonts w:ascii="Palatino Linotype" w:eastAsia="Times New Roman" w:hAnsi="Palatino Linotype" w:cs="Times New Roman"/>
          <w:sz w:val="24"/>
          <w:szCs w:val="24"/>
          <w:vertAlign w:val="superscript"/>
        </w:rPr>
      </w:pPr>
      <w:r w:rsidRPr="00C35477">
        <w:rPr>
          <w:rFonts w:ascii="Palatino Linotype" w:eastAsia="Times New Roman" w:hAnsi="Palatino Linotype" w:cs="Times New Roman"/>
          <w:sz w:val="24"/>
          <w:szCs w:val="24"/>
        </w:rPr>
        <w:t>Merlin Susana Maakh</w:t>
      </w:r>
      <w:r w:rsidRPr="00C35477">
        <w:rPr>
          <w:rFonts w:ascii="Palatino Linotype" w:eastAsia="Times New Roman" w:hAnsi="Palatino Linotype" w:cs="Times New Roman"/>
          <w:sz w:val="24"/>
          <w:szCs w:val="24"/>
          <w:vertAlign w:val="superscript"/>
        </w:rPr>
        <w:t>1</w:t>
      </w:r>
    </w:p>
    <w:p w:rsidR="00166433" w:rsidRPr="00C35477" w:rsidRDefault="00166433" w:rsidP="000C4D50">
      <w:pPr>
        <w:spacing w:after="0" w:line="240" w:lineRule="auto"/>
        <w:jc w:val="center"/>
        <w:rPr>
          <w:rFonts w:ascii="Palatino Linotype" w:eastAsia="Times New Roman" w:hAnsi="Palatino Linotype" w:cs="Times New Roman"/>
          <w:sz w:val="24"/>
          <w:szCs w:val="24"/>
        </w:rPr>
      </w:pPr>
      <w:r w:rsidRPr="00C35477">
        <w:rPr>
          <w:rFonts w:ascii="Palatino Linotype" w:eastAsia="Times New Roman" w:hAnsi="Palatino Linotype" w:cs="Times New Roman"/>
          <w:sz w:val="24"/>
          <w:szCs w:val="24"/>
        </w:rPr>
        <w:t>Teologi</w:t>
      </w:r>
    </w:p>
    <w:p w:rsidR="00166433" w:rsidRPr="00C35477" w:rsidRDefault="00166433" w:rsidP="000C4D50">
      <w:pPr>
        <w:spacing w:after="0" w:line="240" w:lineRule="auto"/>
        <w:jc w:val="center"/>
        <w:rPr>
          <w:rFonts w:ascii="Palatino Linotype" w:eastAsia="Times New Roman" w:hAnsi="Palatino Linotype" w:cs="Times New Roman"/>
          <w:sz w:val="24"/>
          <w:szCs w:val="24"/>
        </w:rPr>
      </w:pPr>
      <w:r w:rsidRPr="00C35477">
        <w:rPr>
          <w:rFonts w:ascii="Palatino Linotype" w:eastAsia="Times New Roman" w:hAnsi="Palatino Linotype" w:cs="Times New Roman"/>
          <w:sz w:val="24"/>
          <w:szCs w:val="24"/>
        </w:rPr>
        <w:t>Sekolah Tinggi Teologi Injili Indonesia Kupang</w:t>
      </w:r>
    </w:p>
    <w:p w:rsidR="00166433" w:rsidRPr="00C35477" w:rsidRDefault="00166433" w:rsidP="000C4D50">
      <w:pPr>
        <w:spacing w:after="0" w:line="240" w:lineRule="auto"/>
        <w:jc w:val="center"/>
        <w:rPr>
          <w:rFonts w:ascii="Palatino Linotype" w:eastAsia="Times New Roman" w:hAnsi="Palatino Linotype" w:cs="Times New Roman"/>
          <w:sz w:val="24"/>
          <w:szCs w:val="24"/>
          <w:vertAlign w:val="superscript"/>
        </w:rPr>
      </w:pPr>
      <w:r w:rsidRPr="00C35477">
        <w:rPr>
          <w:rFonts w:ascii="Palatino Linotype" w:eastAsia="Times New Roman" w:hAnsi="Palatino Linotype" w:cs="Times New Roman"/>
          <w:sz w:val="24"/>
          <w:szCs w:val="24"/>
        </w:rPr>
        <w:t>Jl. Tuabata Kel. Penkase-Oeleta, Kec. Alak, Kupang-NTT</w:t>
      </w:r>
    </w:p>
    <w:p w:rsidR="00166433" w:rsidRPr="00C35477" w:rsidRDefault="00166433" w:rsidP="000C4D50">
      <w:pPr>
        <w:spacing w:after="0" w:line="240" w:lineRule="auto"/>
        <w:jc w:val="center"/>
        <w:rPr>
          <w:rFonts w:ascii="Palatino Linotype" w:hAnsi="Palatino Linotype" w:cs="Times New Roman"/>
          <w:i/>
          <w:sz w:val="24"/>
          <w:szCs w:val="24"/>
        </w:rPr>
      </w:pPr>
      <w:r w:rsidRPr="00C35477">
        <w:rPr>
          <w:rFonts w:ascii="Palatino Linotype" w:eastAsia="Times New Roman" w:hAnsi="Palatino Linotype" w:cs="Times New Roman"/>
          <w:i/>
          <w:sz w:val="24"/>
          <w:szCs w:val="24"/>
        </w:rPr>
        <w:t xml:space="preserve">Email: </w:t>
      </w:r>
      <w:r w:rsidRPr="00C35477">
        <w:rPr>
          <w:rFonts w:ascii="Palatino Linotype" w:hAnsi="Palatino Linotype" w:cs="Times New Roman"/>
          <w:i/>
          <w:sz w:val="24"/>
          <w:szCs w:val="24"/>
        </w:rPr>
        <w:t>merlinsusanamaakh@gmail.com</w:t>
      </w:r>
    </w:p>
    <w:p w:rsidR="00166433" w:rsidRPr="00C35477" w:rsidRDefault="00166433" w:rsidP="000C4D50">
      <w:pPr>
        <w:spacing w:after="0" w:line="240" w:lineRule="auto"/>
        <w:jc w:val="center"/>
        <w:rPr>
          <w:rFonts w:ascii="Palatino Linotype" w:hAnsi="Palatino Linotype"/>
          <w:sz w:val="24"/>
          <w:szCs w:val="24"/>
        </w:rPr>
      </w:pPr>
    </w:p>
    <w:p w:rsidR="00166433" w:rsidRPr="00C35477" w:rsidRDefault="00166433" w:rsidP="000C4D50">
      <w:pPr>
        <w:spacing w:after="0" w:line="240" w:lineRule="auto"/>
        <w:jc w:val="center"/>
        <w:rPr>
          <w:rFonts w:ascii="Palatino Linotype" w:eastAsia="Times New Roman" w:hAnsi="Palatino Linotype" w:cs="Times New Roman"/>
          <w:sz w:val="24"/>
          <w:szCs w:val="24"/>
          <w:vertAlign w:val="superscript"/>
        </w:rPr>
      </w:pPr>
      <w:r w:rsidRPr="00C35477">
        <w:rPr>
          <w:rFonts w:ascii="Palatino Linotype" w:eastAsia="Times New Roman" w:hAnsi="Palatino Linotype" w:cs="Times New Roman"/>
          <w:sz w:val="24"/>
          <w:szCs w:val="24"/>
        </w:rPr>
        <w:t>Hermina</w:t>
      </w:r>
      <w:r w:rsidRPr="00C35477">
        <w:rPr>
          <w:rFonts w:ascii="Palatino Linotype" w:eastAsia="Times New Roman" w:hAnsi="Palatino Linotype" w:cs="Times New Roman"/>
          <w:sz w:val="24"/>
          <w:szCs w:val="24"/>
          <w:vertAlign w:val="superscript"/>
        </w:rPr>
        <w:t>2</w:t>
      </w:r>
    </w:p>
    <w:p w:rsidR="00166433" w:rsidRPr="00C35477" w:rsidRDefault="00166433" w:rsidP="000C4D50">
      <w:pPr>
        <w:spacing w:after="0" w:line="240" w:lineRule="auto"/>
        <w:jc w:val="center"/>
        <w:rPr>
          <w:rFonts w:ascii="Palatino Linotype" w:eastAsia="Times New Roman" w:hAnsi="Palatino Linotype" w:cs="Times New Roman"/>
          <w:sz w:val="24"/>
          <w:szCs w:val="24"/>
        </w:rPr>
      </w:pPr>
      <w:r w:rsidRPr="00C35477">
        <w:rPr>
          <w:rFonts w:ascii="Palatino Linotype" w:eastAsia="Times New Roman" w:hAnsi="Palatino Linotype" w:cs="Times New Roman"/>
          <w:sz w:val="24"/>
          <w:szCs w:val="24"/>
        </w:rPr>
        <w:t>Teologi</w:t>
      </w:r>
    </w:p>
    <w:p w:rsidR="00166433" w:rsidRPr="00C35477" w:rsidRDefault="00166433" w:rsidP="000C4D50">
      <w:pPr>
        <w:spacing w:after="0" w:line="240" w:lineRule="auto"/>
        <w:jc w:val="center"/>
        <w:rPr>
          <w:rFonts w:ascii="Palatino Linotype" w:eastAsia="Times New Roman" w:hAnsi="Palatino Linotype" w:cs="Times New Roman"/>
          <w:sz w:val="24"/>
          <w:szCs w:val="24"/>
        </w:rPr>
      </w:pPr>
      <w:r w:rsidRPr="00C35477">
        <w:rPr>
          <w:rFonts w:ascii="Palatino Linotype" w:eastAsia="Times New Roman" w:hAnsi="Palatino Linotype" w:cs="Times New Roman"/>
          <w:sz w:val="24"/>
          <w:szCs w:val="24"/>
        </w:rPr>
        <w:t>Sekolah Tinggi Teologi Injili Indonesia Kupang</w:t>
      </w:r>
    </w:p>
    <w:p w:rsidR="00166433" w:rsidRPr="00C35477" w:rsidRDefault="00166433" w:rsidP="000C4D50">
      <w:pPr>
        <w:spacing w:after="0" w:line="240" w:lineRule="auto"/>
        <w:jc w:val="center"/>
        <w:rPr>
          <w:rFonts w:ascii="Palatino Linotype" w:eastAsia="Times New Roman" w:hAnsi="Palatino Linotype" w:cs="Times New Roman"/>
          <w:sz w:val="24"/>
          <w:szCs w:val="24"/>
          <w:vertAlign w:val="superscript"/>
        </w:rPr>
      </w:pPr>
      <w:r w:rsidRPr="00C35477">
        <w:rPr>
          <w:rFonts w:ascii="Palatino Linotype" w:eastAsia="Times New Roman" w:hAnsi="Palatino Linotype" w:cs="Times New Roman"/>
          <w:sz w:val="24"/>
          <w:szCs w:val="24"/>
        </w:rPr>
        <w:t>Jl. Tuabata Kel. Penkase-Oeleta, Kec. Alak, Kupang-NTT</w:t>
      </w:r>
    </w:p>
    <w:p w:rsidR="00166433" w:rsidRPr="00C35477" w:rsidRDefault="00166433" w:rsidP="000C4D50">
      <w:pPr>
        <w:spacing w:after="0" w:line="240" w:lineRule="auto"/>
        <w:jc w:val="center"/>
        <w:rPr>
          <w:rStyle w:val="Hyperlink"/>
          <w:rFonts w:ascii="Palatino Linotype" w:eastAsia="Times New Roman" w:hAnsi="Palatino Linotype" w:cs="Times New Roman"/>
          <w:i/>
          <w:color w:val="auto"/>
          <w:sz w:val="24"/>
          <w:szCs w:val="24"/>
          <w:u w:val="none"/>
        </w:rPr>
      </w:pPr>
      <w:r w:rsidRPr="00C35477">
        <w:rPr>
          <w:rFonts w:ascii="Palatino Linotype" w:eastAsia="Times New Roman" w:hAnsi="Palatino Linotype" w:cs="Times New Roman"/>
          <w:i/>
          <w:sz w:val="24"/>
          <w:szCs w:val="24"/>
        </w:rPr>
        <w:t xml:space="preserve">Email: </w:t>
      </w:r>
      <w:hyperlink r:id="rId9" w:history="1">
        <w:r w:rsidRPr="00C35477">
          <w:rPr>
            <w:rStyle w:val="Hyperlink"/>
            <w:rFonts w:ascii="Palatino Linotype" w:eastAsia="Times New Roman" w:hAnsi="Palatino Linotype" w:cs="Times New Roman"/>
            <w:i/>
            <w:color w:val="auto"/>
            <w:sz w:val="24"/>
            <w:szCs w:val="24"/>
            <w:u w:val="none"/>
          </w:rPr>
          <w:t>emmydjamiraga@gmail.com</w:t>
        </w:r>
      </w:hyperlink>
    </w:p>
    <w:p w:rsidR="00166433" w:rsidRPr="00C35477" w:rsidRDefault="00166433" w:rsidP="000C4D50">
      <w:pPr>
        <w:spacing w:after="0" w:line="240" w:lineRule="auto"/>
        <w:jc w:val="both"/>
        <w:rPr>
          <w:rFonts w:ascii="Palatino Linotype" w:eastAsia="Times New Roman" w:hAnsi="Palatino Linotype" w:cs="Times New Roman"/>
          <w:sz w:val="24"/>
          <w:szCs w:val="24"/>
          <w:lang w:eastAsia="id-ID"/>
        </w:rPr>
      </w:pPr>
    </w:p>
    <w:p w:rsidR="00166433" w:rsidRPr="00286681" w:rsidRDefault="00166433" w:rsidP="000C4D50">
      <w:pPr>
        <w:spacing w:after="0" w:line="240" w:lineRule="auto"/>
        <w:jc w:val="both"/>
        <w:rPr>
          <w:rFonts w:ascii="Palatino Linotype" w:eastAsia="Times New Roman" w:hAnsi="Palatino Linotype" w:cs="Times New Roman"/>
          <w:sz w:val="20"/>
          <w:szCs w:val="20"/>
          <w:lang w:eastAsia="id-ID"/>
        </w:rPr>
      </w:pPr>
      <w:r w:rsidRPr="00286681">
        <w:rPr>
          <w:rFonts w:ascii="Palatino Linotype" w:eastAsia="Times New Roman" w:hAnsi="Palatino Linotype" w:cs="Times New Roman"/>
          <w:b/>
          <w:color w:val="000000"/>
          <w:sz w:val="20"/>
          <w:szCs w:val="20"/>
          <w:lang w:eastAsia="id-ID"/>
        </w:rPr>
        <w:t>Abstract</w:t>
      </w:r>
    </w:p>
    <w:p w:rsidR="00166433" w:rsidRPr="00286681" w:rsidRDefault="00166433" w:rsidP="000C4D50">
      <w:pPr>
        <w:spacing w:after="0" w:line="240" w:lineRule="auto"/>
        <w:jc w:val="both"/>
        <w:rPr>
          <w:rFonts w:ascii="Palatino Linotype" w:eastAsia="Times New Roman" w:hAnsi="Palatino Linotype" w:cs="Times New Roman"/>
          <w:sz w:val="20"/>
          <w:szCs w:val="20"/>
          <w:lang w:eastAsia="id-ID"/>
        </w:rPr>
      </w:pPr>
      <w:r w:rsidRPr="00166433">
        <w:rPr>
          <w:rFonts w:ascii="Palatino Linotype" w:eastAsia="Times New Roman" w:hAnsi="Palatino Linotype" w:cs="Times New Roman"/>
          <w:sz w:val="20"/>
          <w:szCs w:val="20"/>
          <w:lang w:eastAsia="id-ID"/>
        </w:rPr>
        <w:t>This research explores the concept of social justice through a theological review of Isaiah 1:17 and its implementation strategies in addressing inequality within modern congregations. The primary problem identified is the dichotomy between ritual piety and social responsibility, where churches often become trapped in religious formalism while neglecting structural imbalances and the suffering of marginal groups.</w:t>
      </w:r>
      <w:r w:rsidRPr="00286681">
        <w:rPr>
          <w:rFonts w:ascii="Palatino Linotype" w:eastAsia="Times New Roman" w:hAnsi="Palatino Linotype" w:cs="Times New Roman"/>
          <w:sz w:val="20"/>
          <w:szCs w:val="20"/>
          <w:lang w:eastAsia="id-ID"/>
        </w:rPr>
        <w:t xml:space="preserve"> </w:t>
      </w:r>
      <w:r w:rsidRPr="00166433">
        <w:rPr>
          <w:rFonts w:ascii="Palatino Linotype" w:eastAsia="Times New Roman" w:hAnsi="Palatino Linotype" w:cs="Times New Roman"/>
          <w:sz w:val="20"/>
          <w:szCs w:val="20"/>
          <w:lang w:eastAsia="id-ID"/>
        </w:rPr>
        <w:t>Using a qualitative methodology with a literature study and biblical exegesis approach, this research finds that the text of Isaiah 1:17 serves as a radical imperative for repentance. It demands concrete action through six collective commands: learn to do good, seek justice, restrain the ruthless, and defend the rights of orphans and widows. Theological analysis indicates that justice (</w:t>
      </w:r>
      <w:r w:rsidRPr="00166433">
        <w:rPr>
          <w:rFonts w:ascii="Palatino Linotype" w:eastAsia="Times New Roman" w:hAnsi="Palatino Linotype" w:cs="Times New Roman"/>
          <w:i/>
          <w:iCs/>
          <w:sz w:val="20"/>
          <w:szCs w:val="20"/>
          <w:lang w:eastAsia="id-ID"/>
        </w:rPr>
        <w:t>mishpat</w:t>
      </w:r>
      <w:r w:rsidRPr="00166433">
        <w:rPr>
          <w:rFonts w:ascii="Palatino Linotype" w:eastAsia="Times New Roman" w:hAnsi="Palatino Linotype" w:cs="Times New Roman"/>
          <w:sz w:val="20"/>
          <w:szCs w:val="20"/>
          <w:lang w:eastAsia="id-ID"/>
        </w:rPr>
        <w:t>) is a reflection of God's character that must be manifested in horizontal actions toward others. The proposed implementation strategies include transforming the church into a center for character formation, an agent of reconciliation, and an advocacy institution that sides with vulnerable groups. It is concluded that true worship cannot be separated from systemic efforts to create a just social order; thus, Christian faith must be expressed through active involvement in eliminating inequality to manifest the vision of the Kingdom of God.</w:t>
      </w:r>
    </w:p>
    <w:p w:rsidR="00C35477" w:rsidRPr="00166433" w:rsidRDefault="00C35477" w:rsidP="000C4D50">
      <w:pPr>
        <w:spacing w:after="0" w:line="240" w:lineRule="auto"/>
        <w:jc w:val="both"/>
        <w:rPr>
          <w:rFonts w:ascii="Palatino Linotype" w:eastAsia="Times New Roman" w:hAnsi="Palatino Linotype" w:cs="Times New Roman"/>
          <w:sz w:val="20"/>
          <w:szCs w:val="20"/>
          <w:lang w:eastAsia="id-ID"/>
        </w:rPr>
      </w:pPr>
    </w:p>
    <w:p w:rsidR="00C35477" w:rsidRDefault="00166433" w:rsidP="000139AA">
      <w:pPr>
        <w:spacing w:after="0" w:line="240" w:lineRule="auto"/>
        <w:jc w:val="both"/>
        <w:rPr>
          <w:rFonts w:ascii="Palatino Linotype" w:eastAsia="Times New Roman" w:hAnsi="Palatino Linotype" w:cs="Times New Roman"/>
          <w:sz w:val="20"/>
          <w:szCs w:val="20"/>
          <w:lang w:eastAsia="id-ID"/>
        </w:rPr>
      </w:pPr>
      <w:r w:rsidRPr="00166433">
        <w:rPr>
          <w:rFonts w:ascii="Palatino Linotype" w:eastAsia="Times New Roman" w:hAnsi="Palatino Linotype" w:cs="Times New Roman"/>
          <w:b/>
          <w:bCs/>
          <w:sz w:val="20"/>
          <w:szCs w:val="20"/>
          <w:lang w:eastAsia="id-ID"/>
        </w:rPr>
        <w:t>Keywords:</w:t>
      </w:r>
      <w:r w:rsidRPr="00166433">
        <w:rPr>
          <w:rFonts w:ascii="Palatino Linotype" w:eastAsia="Times New Roman" w:hAnsi="Palatino Linotype" w:cs="Times New Roman"/>
          <w:sz w:val="20"/>
          <w:szCs w:val="20"/>
          <w:lang w:eastAsia="id-ID"/>
        </w:rPr>
        <w:t xml:space="preserve"> Social Justice, Isaiah 1:17, Marginalized Groups, Church I</w:t>
      </w:r>
      <w:r w:rsidR="004154E9">
        <w:rPr>
          <w:rFonts w:ascii="Palatino Linotype" w:eastAsia="Times New Roman" w:hAnsi="Palatino Linotype" w:cs="Times New Roman"/>
          <w:sz w:val="20"/>
          <w:szCs w:val="20"/>
          <w:lang w:eastAsia="id-ID"/>
        </w:rPr>
        <w:t>mplementation, Prophetic Ethics</w:t>
      </w:r>
    </w:p>
    <w:p w:rsidR="000139AA" w:rsidRDefault="000139AA" w:rsidP="000139AA">
      <w:pPr>
        <w:spacing w:after="0" w:line="240" w:lineRule="auto"/>
        <w:jc w:val="both"/>
        <w:rPr>
          <w:rFonts w:ascii="Palatino Linotype" w:eastAsia="Times New Roman" w:hAnsi="Palatino Linotype" w:cs="Times New Roman"/>
          <w:sz w:val="20"/>
          <w:szCs w:val="20"/>
          <w:lang w:eastAsia="id-ID"/>
        </w:rPr>
      </w:pPr>
    </w:p>
    <w:p w:rsidR="000139AA" w:rsidRPr="000139AA" w:rsidRDefault="000139AA" w:rsidP="000139AA">
      <w:pPr>
        <w:spacing w:after="0" w:line="240" w:lineRule="auto"/>
        <w:jc w:val="both"/>
        <w:rPr>
          <w:rFonts w:ascii="Palatino Linotype" w:eastAsia="Times New Roman" w:hAnsi="Palatino Linotype" w:cs="Times New Roman"/>
          <w:sz w:val="20"/>
          <w:szCs w:val="20"/>
          <w:lang w:eastAsia="id-ID"/>
        </w:rPr>
      </w:pPr>
    </w:p>
    <w:p w:rsidR="00E14615" w:rsidRPr="00E14615" w:rsidRDefault="00DA49B8" w:rsidP="000C4D50">
      <w:pPr>
        <w:spacing w:after="0" w:line="240" w:lineRule="auto"/>
        <w:jc w:val="both"/>
        <w:rPr>
          <w:rFonts w:ascii="Palatino Linotype" w:eastAsia="Times New Roman" w:hAnsi="Palatino Linotype" w:cs="Times New Roman"/>
          <w:sz w:val="20"/>
          <w:szCs w:val="20"/>
          <w:lang w:eastAsia="id-ID"/>
        </w:rPr>
      </w:pPr>
      <w:r w:rsidRPr="00E14615">
        <w:rPr>
          <w:rFonts w:ascii="Palatino Linotype" w:eastAsia="Times New Roman" w:hAnsi="Palatino Linotype" w:cs="Times New Roman"/>
          <w:b/>
          <w:bCs/>
          <w:sz w:val="20"/>
          <w:szCs w:val="20"/>
          <w:lang w:eastAsia="id-ID"/>
        </w:rPr>
        <w:t>Abstrak</w:t>
      </w:r>
    </w:p>
    <w:p w:rsidR="00E14615" w:rsidRDefault="00E14615" w:rsidP="000C4D50">
      <w:pPr>
        <w:spacing w:after="0" w:line="240" w:lineRule="auto"/>
        <w:jc w:val="both"/>
        <w:rPr>
          <w:rFonts w:ascii="Palatino Linotype" w:eastAsia="Times New Roman" w:hAnsi="Palatino Linotype" w:cs="Times New Roman"/>
          <w:sz w:val="20"/>
          <w:szCs w:val="20"/>
          <w:lang w:eastAsia="id-ID"/>
        </w:rPr>
      </w:pPr>
      <w:r w:rsidRPr="00E14615">
        <w:rPr>
          <w:rFonts w:ascii="Palatino Linotype" w:eastAsia="Times New Roman" w:hAnsi="Palatino Linotype" w:cs="Times New Roman"/>
          <w:sz w:val="20"/>
          <w:szCs w:val="20"/>
          <w:lang w:eastAsia="id-ID"/>
        </w:rPr>
        <w:t>Penelitian ini mengeksplorasi konsep keadilan sosial berdasarkan tinjauan teologis terhadap Yesaya 1:17 dan strategi implementasinya dalam mengatasi ketidaksetaraan di tengah jemaat modern. Masalah utama yang diangkat adalah adanya dikotomi antara kesalehan ritual dengan tanggung jawab sosial, di mana gereja sering kali terjebak dalam formalisme agama namun abai terhadap ketimpangan struktural dan penderitaan kaum marginal.</w:t>
      </w:r>
      <w:r w:rsidR="00286681">
        <w:rPr>
          <w:rFonts w:ascii="Palatino Linotype" w:eastAsia="Times New Roman" w:hAnsi="Palatino Linotype" w:cs="Times New Roman"/>
          <w:sz w:val="20"/>
          <w:szCs w:val="20"/>
          <w:lang w:eastAsia="id-ID"/>
        </w:rPr>
        <w:t xml:space="preserve"> </w:t>
      </w:r>
      <w:r w:rsidRPr="00E14615">
        <w:rPr>
          <w:rFonts w:ascii="Palatino Linotype" w:eastAsia="Times New Roman" w:hAnsi="Palatino Linotype" w:cs="Times New Roman"/>
          <w:sz w:val="20"/>
          <w:szCs w:val="20"/>
          <w:lang w:eastAsia="id-ID"/>
        </w:rPr>
        <w:t>Menggunakan metodologi kualitatif dengan pendekatan studi pustaka dan eksegesis alkitabiah, penelitian ini menemukan bahwa teks Yesaya 1:17 merupakan imperatif pertobatan radikal yang menuntut tindakan nyata melalui enam perintah kolektif: belajar berbuat baik, mengusahakan keadilan, mengendalikan kekejaman, serta membela hak anak yatim dan janda. Analisis teologis menunjukkan bahwa keadilan (</w:t>
      </w:r>
      <w:r w:rsidRPr="00E14615">
        <w:rPr>
          <w:rFonts w:ascii="Palatino Linotype" w:eastAsia="Times New Roman" w:hAnsi="Palatino Linotype" w:cs="Times New Roman"/>
          <w:i/>
          <w:iCs/>
          <w:sz w:val="20"/>
          <w:szCs w:val="20"/>
          <w:lang w:eastAsia="id-ID"/>
        </w:rPr>
        <w:t>mishpat</w:t>
      </w:r>
      <w:r w:rsidRPr="00E14615">
        <w:rPr>
          <w:rFonts w:ascii="Palatino Linotype" w:eastAsia="Times New Roman" w:hAnsi="Palatino Linotype" w:cs="Times New Roman"/>
          <w:sz w:val="20"/>
          <w:szCs w:val="20"/>
          <w:lang w:eastAsia="id-ID"/>
        </w:rPr>
        <w:t xml:space="preserve">) adalah refleksi karakter Allah yang harus diwujudkan dalam tindakan horizontal kepada sesama. Strategi implementasi yang diusulkan mencakup transformasi gereja menjadi pusat pembentukan karakter, agen rekonsiliasi, serta lembaga advokasi yang berpihak pada kelompok rentan. Disimpulkan bahwa ibadah yang sejati tidak dapat dipisahkan dari upaya sistemik menciptakan tatanan sosial yang adil, </w:t>
      </w:r>
      <w:r w:rsidRPr="00E14615">
        <w:rPr>
          <w:rFonts w:ascii="Palatino Linotype" w:eastAsia="Times New Roman" w:hAnsi="Palatino Linotype" w:cs="Times New Roman"/>
          <w:sz w:val="20"/>
          <w:szCs w:val="20"/>
          <w:lang w:eastAsia="id-ID"/>
        </w:rPr>
        <w:lastRenderedPageBreak/>
        <w:t>sehingga iman Kristen harus diekspresikan melalui keterlibatan aktif dalam menghapuskan ketidaksetaraan demi mewujudkan visi Kerajaan Allah.</w:t>
      </w:r>
    </w:p>
    <w:p w:rsidR="00286681" w:rsidRPr="00E14615" w:rsidRDefault="00286681" w:rsidP="000C4D50">
      <w:pPr>
        <w:spacing w:after="0" w:line="240" w:lineRule="auto"/>
        <w:jc w:val="both"/>
        <w:rPr>
          <w:rFonts w:ascii="Palatino Linotype" w:eastAsia="Times New Roman" w:hAnsi="Palatino Linotype" w:cs="Times New Roman"/>
          <w:sz w:val="20"/>
          <w:szCs w:val="20"/>
          <w:lang w:eastAsia="id-ID"/>
        </w:rPr>
      </w:pPr>
    </w:p>
    <w:p w:rsidR="00E14615" w:rsidRPr="00E14615" w:rsidRDefault="00E14615" w:rsidP="000C4D50">
      <w:pPr>
        <w:spacing w:after="0" w:line="240" w:lineRule="auto"/>
        <w:jc w:val="both"/>
        <w:rPr>
          <w:rFonts w:ascii="Palatino Linotype" w:eastAsia="Times New Roman" w:hAnsi="Palatino Linotype" w:cs="Times New Roman"/>
          <w:sz w:val="20"/>
          <w:szCs w:val="20"/>
          <w:lang w:eastAsia="id-ID"/>
        </w:rPr>
      </w:pPr>
      <w:r w:rsidRPr="00E14615">
        <w:rPr>
          <w:rFonts w:ascii="Palatino Linotype" w:eastAsia="Times New Roman" w:hAnsi="Palatino Linotype" w:cs="Times New Roman"/>
          <w:b/>
          <w:bCs/>
          <w:sz w:val="20"/>
          <w:szCs w:val="20"/>
          <w:lang w:eastAsia="id-ID"/>
        </w:rPr>
        <w:t>Kata Kunci:</w:t>
      </w:r>
      <w:r w:rsidRPr="00E14615">
        <w:rPr>
          <w:rFonts w:ascii="Palatino Linotype" w:eastAsia="Times New Roman" w:hAnsi="Palatino Linotype" w:cs="Times New Roman"/>
          <w:sz w:val="20"/>
          <w:szCs w:val="20"/>
          <w:lang w:eastAsia="id-ID"/>
        </w:rPr>
        <w:t xml:space="preserve"> Keadilan Sosial, Yesaya 1:17, Kaum Marginal, Impl</w:t>
      </w:r>
      <w:r w:rsidR="004154E9">
        <w:rPr>
          <w:rFonts w:ascii="Palatino Linotype" w:eastAsia="Times New Roman" w:hAnsi="Palatino Linotype" w:cs="Times New Roman"/>
          <w:sz w:val="20"/>
          <w:szCs w:val="20"/>
          <w:lang w:eastAsia="id-ID"/>
        </w:rPr>
        <w:t>ementasi Gereja, Etika Profetik</w:t>
      </w:r>
    </w:p>
    <w:p w:rsidR="00286681" w:rsidRPr="00C35477" w:rsidRDefault="00286681" w:rsidP="000C4D50">
      <w:pPr>
        <w:spacing w:after="0" w:line="240" w:lineRule="auto"/>
        <w:jc w:val="both"/>
        <w:outlineLvl w:val="1"/>
        <w:rPr>
          <w:rFonts w:ascii="Palatino Linotype" w:eastAsia="Times New Roman" w:hAnsi="Palatino Linotype" w:cs="Times New Roman"/>
          <w:b/>
          <w:bCs/>
          <w:sz w:val="24"/>
          <w:szCs w:val="24"/>
          <w:lang w:eastAsia="id-ID"/>
        </w:rPr>
      </w:pPr>
    </w:p>
    <w:p w:rsidR="00D1062B" w:rsidRPr="00D1062B" w:rsidRDefault="004518EF" w:rsidP="000C4D50">
      <w:pPr>
        <w:spacing w:after="0" w:line="240" w:lineRule="auto"/>
        <w:jc w:val="both"/>
        <w:outlineLvl w:val="1"/>
        <w:rPr>
          <w:rFonts w:ascii="Palatino Linotype" w:eastAsia="Times New Roman" w:hAnsi="Palatino Linotype" w:cs="Times New Roman"/>
          <w:b/>
          <w:bCs/>
          <w:sz w:val="26"/>
          <w:szCs w:val="26"/>
          <w:lang w:eastAsia="id-ID"/>
        </w:rPr>
      </w:pPr>
      <w:r w:rsidRPr="00D1062B">
        <w:rPr>
          <w:rFonts w:ascii="Palatino Linotype" w:eastAsia="Times New Roman" w:hAnsi="Palatino Linotype" w:cs="Times New Roman"/>
          <w:b/>
          <w:bCs/>
          <w:sz w:val="26"/>
          <w:szCs w:val="26"/>
          <w:lang w:eastAsia="id-ID"/>
        </w:rPr>
        <w:t>Pendahuluan</w:t>
      </w:r>
    </w:p>
    <w:p w:rsidR="004518EF" w:rsidRDefault="00D1062B" w:rsidP="004518EF">
      <w:pPr>
        <w:spacing w:after="0" w:line="240" w:lineRule="auto"/>
        <w:ind w:firstLine="1080"/>
        <w:jc w:val="both"/>
        <w:rPr>
          <w:rFonts w:ascii="Palatino Linotype" w:eastAsia="Times New Roman" w:hAnsi="Palatino Linotype" w:cs="Times New Roman"/>
          <w:sz w:val="24"/>
          <w:szCs w:val="24"/>
          <w:lang w:eastAsia="id-ID"/>
        </w:rPr>
      </w:pPr>
      <w:r w:rsidRPr="00D1062B">
        <w:rPr>
          <w:rFonts w:ascii="Palatino Linotype" w:eastAsia="Times New Roman" w:hAnsi="Palatino Linotype" w:cs="Times New Roman"/>
          <w:sz w:val="24"/>
          <w:szCs w:val="24"/>
          <w:lang w:eastAsia="id-ID"/>
        </w:rPr>
        <w:t>Konsep keadilan sosial secara fundamental merupakan pilar distribusi yang setara atas sumber daya, hak, dan kesempatan bagi setiap individu dalam tatanan masyarakat tanpa diskriminasi. Secara teologis, keadilan sosial bukan sekadar mekanisme ekonomi atau politik, melainkan manifestasi dari karakter ilahi yang menghendaki kesejahteraan (</w:t>
      </w:r>
      <w:r w:rsidRPr="00D1062B">
        <w:rPr>
          <w:rFonts w:ascii="Palatino Linotype" w:eastAsia="Times New Roman" w:hAnsi="Palatino Linotype" w:cs="Times New Roman"/>
          <w:i/>
          <w:iCs/>
          <w:sz w:val="24"/>
          <w:szCs w:val="24"/>
          <w:lang w:eastAsia="id-ID"/>
        </w:rPr>
        <w:t>shalom</w:t>
      </w:r>
      <w:r w:rsidRPr="00D1062B">
        <w:rPr>
          <w:rFonts w:ascii="Palatino Linotype" w:eastAsia="Times New Roman" w:hAnsi="Palatino Linotype" w:cs="Times New Roman"/>
          <w:sz w:val="24"/>
          <w:szCs w:val="24"/>
          <w:lang w:eastAsia="id-ID"/>
        </w:rPr>
        <w:t xml:space="preserve">) bagi seluruh ciptaan, terutama bagi kaum marginal yang sering kali terabaikan dalam struktur sosial yang timpang. Dalam tradisi Yahudi-Kristen, panggilan untuk menegakkan keadilan ini berakar kuat pada mandat profetik, sebagaimana tercermin dalam seruan </w:t>
      </w:r>
      <w:r w:rsidR="004518EF">
        <w:rPr>
          <w:rFonts w:ascii="Palatino Linotype" w:eastAsia="Times New Roman" w:hAnsi="Palatino Linotype" w:cs="Times New Roman"/>
          <w:sz w:val="24"/>
          <w:szCs w:val="24"/>
          <w:lang w:eastAsia="id-ID"/>
        </w:rPr>
        <w:t>n</w:t>
      </w:r>
      <w:r w:rsidRPr="00D1062B">
        <w:rPr>
          <w:rFonts w:ascii="Palatino Linotype" w:eastAsia="Times New Roman" w:hAnsi="Palatino Linotype" w:cs="Times New Roman"/>
          <w:sz w:val="24"/>
          <w:szCs w:val="24"/>
          <w:lang w:eastAsia="id-ID"/>
        </w:rPr>
        <w:t xml:space="preserve">abi Yesaya. Yesaya 1:17 memberikan perintah etis yang sangat spesifik: "belajarlah berbuat baik; usahakanlah keadilan, kendalikanlah orang kejam; belalah hak anak-anak yatim, perjuangkanlah perkara janda-janda!" Ayat ini menegaskan bahwa iman yang sejati tidak dapat dipisahkan dari tindakan nyata untuk memperbaiki kondisi sosial yang rusak. John Calvin, sang reformator, menekankan bahwa mengejar kebaikan orang lain adalah bentuk penyembahan yang konkret kepada Tuhan, di mana keadilan dipandang sebagai bagian integral </w:t>
      </w:r>
      <w:r w:rsidR="004518EF">
        <w:rPr>
          <w:rFonts w:ascii="Palatino Linotype" w:eastAsia="Times New Roman" w:hAnsi="Palatino Linotype" w:cs="Times New Roman"/>
          <w:sz w:val="24"/>
          <w:szCs w:val="24"/>
          <w:lang w:eastAsia="id-ID"/>
        </w:rPr>
        <w:t>dari kesalehan hidup kristiani.</w:t>
      </w:r>
      <w:r w:rsidR="004518EF">
        <w:rPr>
          <w:rStyle w:val="FootnoteReference"/>
          <w:rFonts w:ascii="Palatino Linotype" w:eastAsia="Times New Roman" w:hAnsi="Palatino Linotype" w:cs="Times New Roman"/>
          <w:sz w:val="24"/>
          <w:szCs w:val="24"/>
          <w:lang w:eastAsia="id-ID"/>
        </w:rPr>
        <w:footnoteReference w:id="1"/>
      </w:r>
      <w:r w:rsidRPr="00D1062B">
        <w:rPr>
          <w:rFonts w:ascii="Palatino Linotype" w:eastAsia="Times New Roman" w:hAnsi="Palatino Linotype" w:cs="Times New Roman"/>
          <w:sz w:val="24"/>
          <w:szCs w:val="24"/>
          <w:lang w:eastAsia="id-ID"/>
        </w:rPr>
        <w:t xml:space="preserve"> </w:t>
      </w:r>
    </w:p>
    <w:p w:rsidR="004518EF" w:rsidRDefault="00D1062B" w:rsidP="004518EF">
      <w:pPr>
        <w:spacing w:after="0" w:line="240" w:lineRule="auto"/>
        <w:ind w:firstLine="1080"/>
        <w:jc w:val="both"/>
        <w:rPr>
          <w:rFonts w:ascii="Palatino Linotype" w:eastAsia="Times New Roman" w:hAnsi="Palatino Linotype" w:cs="Times New Roman"/>
          <w:sz w:val="24"/>
          <w:szCs w:val="24"/>
          <w:lang w:eastAsia="id-ID"/>
        </w:rPr>
      </w:pPr>
      <w:r w:rsidRPr="00D1062B">
        <w:rPr>
          <w:rFonts w:ascii="Palatino Linotype" w:eastAsia="Times New Roman" w:hAnsi="Palatino Linotype" w:cs="Times New Roman"/>
          <w:sz w:val="24"/>
          <w:szCs w:val="24"/>
          <w:lang w:eastAsia="id-ID"/>
        </w:rPr>
        <w:t xml:space="preserve">Keadilan sosial dalam konteks gereja modern saat ini menjadi isu yang mendesak sekaligus diperdebatkan secara intens, terutama mengenai apakah hal tersebut merupakan inti dari misi Injil atau sekadar agenda sekuler. Namun, secara substansial, keadilan sosial melibatkan pengakuan terhadap martabat setiap orang sebagai </w:t>
      </w:r>
      <w:r w:rsidRPr="00D1062B">
        <w:rPr>
          <w:rFonts w:ascii="Palatino Linotype" w:eastAsia="Times New Roman" w:hAnsi="Palatino Linotype" w:cs="Times New Roman"/>
          <w:i/>
          <w:iCs/>
          <w:sz w:val="24"/>
          <w:szCs w:val="24"/>
          <w:lang w:eastAsia="id-ID"/>
        </w:rPr>
        <w:t>Imago Dei</w:t>
      </w:r>
      <w:r w:rsidRPr="00D1062B">
        <w:rPr>
          <w:rFonts w:ascii="Palatino Linotype" w:eastAsia="Times New Roman" w:hAnsi="Palatino Linotype" w:cs="Times New Roman"/>
          <w:sz w:val="24"/>
          <w:szCs w:val="24"/>
          <w:lang w:eastAsia="id-ID"/>
        </w:rPr>
        <w:t xml:space="preserve"> (gambar Allah), yang menuntut adanya perlindungan hukum, akses kesehatan, serta pendidikan yang merata bagi seluruh jemaat tanpa memandan</w:t>
      </w:r>
      <w:r w:rsidR="004518EF">
        <w:rPr>
          <w:rFonts w:ascii="Palatino Linotype" w:eastAsia="Times New Roman" w:hAnsi="Palatino Linotype" w:cs="Times New Roman"/>
          <w:sz w:val="24"/>
          <w:szCs w:val="24"/>
          <w:lang w:eastAsia="id-ID"/>
        </w:rPr>
        <w:t>g status sosial ekonomi mereka.</w:t>
      </w:r>
      <w:r w:rsidR="004518EF">
        <w:rPr>
          <w:rStyle w:val="FootnoteReference"/>
          <w:rFonts w:ascii="Palatino Linotype" w:eastAsia="Times New Roman" w:hAnsi="Palatino Linotype" w:cs="Times New Roman"/>
          <w:sz w:val="24"/>
          <w:szCs w:val="24"/>
          <w:lang w:eastAsia="id-ID"/>
        </w:rPr>
        <w:footnoteReference w:id="2"/>
      </w:r>
      <w:r w:rsidRPr="00D1062B">
        <w:rPr>
          <w:rFonts w:ascii="Palatino Linotype" w:eastAsia="Times New Roman" w:hAnsi="Palatino Linotype" w:cs="Times New Roman"/>
          <w:sz w:val="24"/>
          <w:szCs w:val="24"/>
          <w:lang w:eastAsia="id-ID"/>
        </w:rPr>
        <w:t xml:space="preserve"> Di Indonesia sendiri, prinsip ini selaras dengan nilai-nilai Pancasila, khususnya sila kelima, yang menempatkan keadilan sosial bagi seluruh rakyat Indonesia </w:t>
      </w:r>
      <w:r w:rsidR="004518EF">
        <w:rPr>
          <w:rFonts w:ascii="Palatino Linotype" w:eastAsia="Times New Roman" w:hAnsi="Palatino Linotype" w:cs="Times New Roman"/>
          <w:sz w:val="24"/>
          <w:szCs w:val="24"/>
          <w:lang w:eastAsia="id-ID"/>
        </w:rPr>
        <w:t>sebagai cita-cita luhur bangsa.</w:t>
      </w:r>
      <w:r w:rsidR="004518EF">
        <w:rPr>
          <w:rStyle w:val="FootnoteReference"/>
          <w:rFonts w:ascii="Palatino Linotype" w:eastAsia="Times New Roman" w:hAnsi="Palatino Linotype" w:cs="Times New Roman"/>
          <w:sz w:val="24"/>
          <w:szCs w:val="24"/>
          <w:lang w:eastAsia="id-ID"/>
        </w:rPr>
        <w:footnoteReference w:id="3"/>
      </w:r>
      <w:r w:rsidR="004518EF">
        <w:rPr>
          <w:rFonts w:ascii="Palatino Linotype" w:eastAsia="Times New Roman" w:hAnsi="Palatino Linotype" w:cs="Times New Roman"/>
          <w:sz w:val="24"/>
          <w:szCs w:val="24"/>
          <w:lang w:eastAsia="id-ID"/>
        </w:rPr>
        <w:t xml:space="preserve"> </w:t>
      </w:r>
      <w:r w:rsidRPr="00D1062B">
        <w:rPr>
          <w:rFonts w:ascii="Palatino Linotype" w:eastAsia="Times New Roman" w:hAnsi="Palatino Linotype" w:cs="Times New Roman"/>
          <w:sz w:val="24"/>
          <w:szCs w:val="24"/>
          <w:lang w:eastAsia="id-ID"/>
        </w:rPr>
        <w:t xml:space="preserve">Namun, realitas kontemporer menunjukkan adanya jurang pemisah yang lebar antara idealisme teologis dengan praktik kehidupan berjemaat di tengah masyarakat. Ketimpangan sosial masih menjadi tantangan besar, di mana kelompok kaya sering kali mendapatkan akses dan pengaruh yang lebih besar dibandingkan kelompok miskin yang semakin terpinggirkan. Ketimpangan pendapatan di Indonesia, yang tercermin </w:t>
      </w:r>
      <w:r w:rsidRPr="00D1062B">
        <w:rPr>
          <w:rFonts w:ascii="Palatino Linotype" w:eastAsia="Times New Roman" w:hAnsi="Palatino Linotype" w:cs="Times New Roman"/>
          <w:sz w:val="24"/>
          <w:szCs w:val="24"/>
          <w:lang w:eastAsia="id-ID"/>
        </w:rPr>
        <w:lastRenderedPageBreak/>
        <w:t xml:space="preserve">dalam </w:t>
      </w:r>
      <w:r w:rsidRPr="00D1062B">
        <w:rPr>
          <w:rFonts w:ascii="Palatino Linotype" w:eastAsia="Times New Roman" w:hAnsi="Palatino Linotype" w:cs="Times New Roman"/>
          <w:i/>
          <w:iCs/>
          <w:sz w:val="24"/>
          <w:szCs w:val="24"/>
          <w:lang w:eastAsia="id-ID"/>
        </w:rPr>
        <w:t>Gini Ratio</w:t>
      </w:r>
      <w:r w:rsidRPr="00D1062B">
        <w:rPr>
          <w:rFonts w:ascii="Palatino Linotype" w:eastAsia="Times New Roman" w:hAnsi="Palatino Linotype" w:cs="Times New Roman"/>
          <w:sz w:val="24"/>
          <w:szCs w:val="24"/>
          <w:lang w:eastAsia="id-ID"/>
        </w:rPr>
        <w:t>, menunjukkan bahwa akses terhadap peluang ekonomi masih belum merata, yang pada gilirannya berdam</w:t>
      </w:r>
      <w:r w:rsidR="004518EF">
        <w:rPr>
          <w:rFonts w:ascii="Palatino Linotype" w:eastAsia="Times New Roman" w:hAnsi="Palatino Linotype" w:cs="Times New Roman"/>
          <w:sz w:val="24"/>
          <w:szCs w:val="24"/>
          <w:lang w:eastAsia="id-ID"/>
        </w:rPr>
        <w:t>pak pada kualitas hidup jemaat.</w:t>
      </w:r>
      <w:r w:rsidR="004518EF">
        <w:rPr>
          <w:rStyle w:val="FootnoteReference"/>
          <w:rFonts w:ascii="Palatino Linotype" w:eastAsia="Times New Roman" w:hAnsi="Palatino Linotype" w:cs="Times New Roman"/>
          <w:sz w:val="24"/>
          <w:szCs w:val="24"/>
          <w:lang w:eastAsia="id-ID"/>
        </w:rPr>
        <w:footnoteReference w:id="4"/>
      </w:r>
      <w:r w:rsidRPr="00D1062B">
        <w:rPr>
          <w:rFonts w:ascii="Palatino Linotype" w:eastAsia="Times New Roman" w:hAnsi="Palatino Linotype" w:cs="Times New Roman"/>
          <w:sz w:val="24"/>
          <w:szCs w:val="24"/>
          <w:lang w:eastAsia="id-ID"/>
        </w:rPr>
        <w:t xml:space="preserve"> </w:t>
      </w:r>
    </w:p>
    <w:p w:rsidR="00D1062B" w:rsidRPr="00D1062B" w:rsidRDefault="00D1062B" w:rsidP="004518EF">
      <w:pPr>
        <w:spacing w:after="0" w:line="240" w:lineRule="auto"/>
        <w:ind w:firstLine="1080"/>
        <w:jc w:val="both"/>
        <w:rPr>
          <w:rFonts w:ascii="Palatino Linotype" w:eastAsia="Times New Roman" w:hAnsi="Palatino Linotype" w:cs="Times New Roman"/>
          <w:sz w:val="24"/>
          <w:szCs w:val="24"/>
          <w:lang w:eastAsia="id-ID"/>
        </w:rPr>
      </w:pPr>
      <w:r w:rsidRPr="00D1062B">
        <w:rPr>
          <w:rFonts w:ascii="Palatino Linotype" w:eastAsia="Times New Roman" w:hAnsi="Palatino Linotype" w:cs="Times New Roman"/>
          <w:sz w:val="24"/>
          <w:szCs w:val="24"/>
          <w:lang w:eastAsia="id-ID"/>
        </w:rPr>
        <w:t>Gereja sebagai agen perubahan sering kali terjebak dalam rutinitas ritualistik yang mengabaikan penderitaan sosial di sekitarnya. Sebagaimana kritik Nabi Yesaya terhadap umat Yehuda yang melakukan ibadah ritual namun mengabaikan keadilan, gereja masa kini dipanggil untuk merefleksikan kembali makna ibadah yang sejati. Menurut Timothy Keller, kasih dan keadilan adalah dua aspek utama yang tidak dapat dipisahkan; kasih tanpa keadilan adalah sentimentalitas yang lemah, sementara keadilan tanpa kas</w:t>
      </w:r>
      <w:r w:rsidR="004518EF">
        <w:rPr>
          <w:rFonts w:ascii="Palatino Linotype" w:eastAsia="Times New Roman" w:hAnsi="Palatino Linotype" w:cs="Times New Roman"/>
          <w:sz w:val="24"/>
          <w:szCs w:val="24"/>
          <w:lang w:eastAsia="id-ID"/>
        </w:rPr>
        <w:t>ih adalah kekerasan yang kejam.</w:t>
      </w:r>
      <w:r w:rsidR="004518EF">
        <w:rPr>
          <w:rStyle w:val="FootnoteReference"/>
          <w:rFonts w:ascii="Palatino Linotype" w:eastAsia="Times New Roman" w:hAnsi="Palatino Linotype" w:cs="Times New Roman"/>
          <w:sz w:val="24"/>
          <w:szCs w:val="24"/>
          <w:lang w:eastAsia="id-ID"/>
        </w:rPr>
        <w:footnoteReference w:id="5"/>
      </w:r>
      <w:r w:rsidRPr="00D1062B">
        <w:rPr>
          <w:rFonts w:ascii="Palatino Linotype" w:eastAsia="Times New Roman" w:hAnsi="Palatino Linotype" w:cs="Times New Roman"/>
          <w:sz w:val="24"/>
          <w:szCs w:val="24"/>
          <w:lang w:eastAsia="id-ID"/>
        </w:rPr>
        <w:t xml:space="preserve"> Implementasi dari Yesaya 1:17 menuntut gereja untuk tidak hanya memberikan bantuan karitatif atau amal sementara, tetapi juga melakukan advokasi dan perubahan struktural yang dapat memberdayakan kaum tertindas, seperti anak yatim dan janda, yang dalam konteks modern dapat direpresentasikan sebagai kelomp</w:t>
      </w:r>
      <w:r w:rsidR="004518EF">
        <w:rPr>
          <w:rFonts w:ascii="Palatino Linotype" w:eastAsia="Times New Roman" w:hAnsi="Palatino Linotype" w:cs="Times New Roman"/>
          <w:sz w:val="24"/>
          <w:szCs w:val="24"/>
          <w:lang w:eastAsia="id-ID"/>
        </w:rPr>
        <w:t>ok rentan tanpa jaminan sosial.</w:t>
      </w:r>
      <w:r w:rsidR="004518EF">
        <w:rPr>
          <w:rStyle w:val="FootnoteReference"/>
          <w:rFonts w:ascii="Palatino Linotype" w:eastAsia="Times New Roman" w:hAnsi="Palatino Linotype" w:cs="Times New Roman"/>
          <w:sz w:val="24"/>
          <w:szCs w:val="24"/>
          <w:lang w:eastAsia="id-ID"/>
        </w:rPr>
        <w:footnoteReference w:id="6"/>
      </w:r>
      <w:r w:rsidRPr="00D1062B">
        <w:rPr>
          <w:rFonts w:ascii="Palatino Linotype" w:eastAsia="Times New Roman" w:hAnsi="Palatino Linotype" w:cs="Times New Roman"/>
          <w:sz w:val="24"/>
          <w:szCs w:val="24"/>
          <w:lang w:eastAsia="id-ID"/>
        </w:rPr>
        <w:t xml:space="preserve"> Melalui pemahaman teologis yang mendalam dan aksi praktis yang konsisten, gereja diharapkan mampu menciptakan komunitas yang berfungsi secara adil, di mana setiap individu memiliki kesempatan yang setara untuk bertumbuh. Oleh karena itu, penelitian ini bertujuan untuk menggali lebih dalam konsep keadilan sosial berdasarkan Yesaya 1:17 serta strategi implementasinya dalam mengatasi ketidaksetaraan di tengah jemaat modern, guna mewujudkan visi Kerajaan Allah yang menghadirkan kebenaran, damai sejaht</w:t>
      </w:r>
      <w:r w:rsidR="004518EF">
        <w:rPr>
          <w:rFonts w:ascii="Palatino Linotype" w:eastAsia="Times New Roman" w:hAnsi="Palatino Linotype" w:cs="Times New Roman"/>
          <w:sz w:val="24"/>
          <w:szCs w:val="24"/>
          <w:lang w:eastAsia="id-ID"/>
        </w:rPr>
        <w:t>era, dan keadilan di atas bumi.</w:t>
      </w:r>
      <w:r w:rsidR="004518EF">
        <w:rPr>
          <w:rStyle w:val="FootnoteReference"/>
          <w:rFonts w:ascii="Palatino Linotype" w:eastAsia="Times New Roman" w:hAnsi="Palatino Linotype" w:cs="Times New Roman"/>
          <w:sz w:val="24"/>
          <w:szCs w:val="24"/>
          <w:lang w:eastAsia="id-ID"/>
        </w:rPr>
        <w:footnoteReference w:id="7"/>
      </w:r>
    </w:p>
    <w:p w:rsidR="00EE2047" w:rsidRPr="00D1062B" w:rsidRDefault="00EE2047" w:rsidP="000C4D50">
      <w:pPr>
        <w:spacing w:after="0" w:line="240" w:lineRule="auto"/>
        <w:jc w:val="both"/>
        <w:rPr>
          <w:rFonts w:ascii="Palatino Linotype" w:eastAsia="Times New Roman" w:hAnsi="Palatino Linotype" w:cs="Times New Roman"/>
          <w:sz w:val="24"/>
          <w:szCs w:val="24"/>
          <w:lang w:eastAsia="id-ID"/>
        </w:rPr>
      </w:pPr>
    </w:p>
    <w:p w:rsidR="00A760F7" w:rsidRPr="004518EF" w:rsidRDefault="004518EF" w:rsidP="000C4D50">
      <w:pPr>
        <w:pStyle w:val="Heading3"/>
        <w:spacing w:before="0" w:line="240" w:lineRule="auto"/>
        <w:jc w:val="both"/>
        <w:rPr>
          <w:rFonts w:ascii="Palatino Linotype" w:hAnsi="Palatino Linotype"/>
          <w:color w:val="auto"/>
          <w:sz w:val="26"/>
          <w:szCs w:val="26"/>
        </w:rPr>
      </w:pPr>
      <w:r w:rsidRPr="004518EF">
        <w:rPr>
          <w:rFonts w:ascii="Palatino Linotype" w:hAnsi="Palatino Linotype"/>
          <w:color w:val="auto"/>
          <w:sz w:val="26"/>
          <w:szCs w:val="26"/>
        </w:rPr>
        <w:t>Metode</w:t>
      </w:r>
      <w:r w:rsidR="00A760F7" w:rsidRPr="004518EF">
        <w:rPr>
          <w:rFonts w:ascii="Palatino Linotype" w:hAnsi="Palatino Linotype"/>
          <w:color w:val="auto"/>
          <w:sz w:val="26"/>
          <w:szCs w:val="26"/>
        </w:rPr>
        <w:t xml:space="preserve"> Penelitian</w:t>
      </w:r>
    </w:p>
    <w:p w:rsidR="00A760F7" w:rsidRPr="00C35477" w:rsidRDefault="00A760F7" w:rsidP="004518EF">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Penelitian ini menggunakan pendekatan </w:t>
      </w:r>
      <w:r w:rsidRPr="004518EF">
        <w:rPr>
          <w:rFonts w:ascii="Palatino Linotype" w:hAnsi="Palatino Linotype"/>
          <w:bCs/>
        </w:rPr>
        <w:t>kualitatif</w:t>
      </w:r>
      <w:r w:rsidRPr="004518EF">
        <w:rPr>
          <w:rFonts w:ascii="Palatino Linotype" w:hAnsi="Palatino Linotype"/>
        </w:rPr>
        <w:t xml:space="preserve"> untuk mengeksplorasi fenomena sosial dan teologis secara mendalam melalui data non-numerik. Metodologi kualitatif dipilih karena kemampuannya dalam memahami makna subjektif dan motivasi di balik tindakan manusia </w:t>
      </w:r>
      <w:r w:rsidR="000C116A">
        <w:rPr>
          <w:rFonts w:ascii="Palatino Linotype" w:hAnsi="Palatino Linotype"/>
        </w:rPr>
        <w:t>dalam konteks budaya tertentu.</w:t>
      </w:r>
      <w:r w:rsidR="000C116A">
        <w:rPr>
          <w:rStyle w:val="FootnoteReference"/>
          <w:rFonts w:ascii="Palatino Linotype" w:hAnsi="Palatino Linotype"/>
        </w:rPr>
        <w:footnoteReference w:id="8"/>
      </w:r>
      <w:r w:rsidRPr="004518EF">
        <w:rPr>
          <w:rFonts w:ascii="Palatino Linotype" w:hAnsi="Palatino Linotype"/>
        </w:rPr>
        <w:t xml:space="preserve"> Strategi utama yang diterapkan adalah </w:t>
      </w:r>
      <w:r w:rsidRPr="004518EF">
        <w:rPr>
          <w:rFonts w:ascii="Palatino Linotype" w:hAnsi="Palatino Linotype"/>
          <w:bCs/>
        </w:rPr>
        <w:t>studi teks alkitabiah</w:t>
      </w:r>
      <w:r w:rsidRPr="00C35477">
        <w:rPr>
          <w:rFonts w:ascii="Palatino Linotype" w:hAnsi="Palatino Linotype"/>
        </w:rPr>
        <w:t xml:space="preserve"> melalui pendekatan teologis (eksegetis) terhadap kitab Yesaya 1:17. Teknik pengumpulan data dilakukan melalui studi kepustakaan (</w:t>
      </w:r>
      <w:r w:rsidRPr="00C35477">
        <w:rPr>
          <w:rFonts w:ascii="Palatino Linotype" w:hAnsi="Palatino Linotype"/>
          <w:i/>
          <w:iCs/>
        </w:rPr>
        <w:t>library research</w:t>
      </w:r>
      <w:r w:rsidRPr="00C35477">
        <w:rPr>
          <w:rFonts w:ascii="Palatino Linotype" w:hAnsi="Palatino Linotype"/>
        </w:rPr>
        <w:t>), yang melibatkan analisis terhadap buku-buku teologi, jurnal ilmiah, dan dokumen terkait untuk memban</w:t>
      </w:r>
      <w:r w:rsidR="000C116A">
        <w:rPr>
          <w:rFonts w:ascii="Palatino Linotype" w:hAnsi="Palatino Linotype"/>
        </w:rPr>
        <w:t>gun argumen yang komprehensif.</w:t>
      </w:r>
      <w:r w:rsidR="000C116A">
        <w:rPr>
          <w:rStyle w:val="FootnoteReference"/>
          <w:rFonts w:ascii="Palatino Linotype" w:hAnsi="Palatino Linotype"/>
        </w:rPr>
        <w:footnoteReference w:id="9"/>
      </w:r>
      <w:r w:rsidR="00042A63">
        <w:rPr>
          <w:rFonts w:ascii="Palatino Linotype" w:hAnsi="Palatino Linotype"/>
        </w:rPr>
        <w:t xml:space="preserve"> </w:t>
      </w:r>
      <w:r w:rsidRPr="00C35477">
        <w:rPr>
          <w:rFonts w:ascii="Palatino Linotype" w:hAnsi="Palatino Linotype"/>
        </w:rPr>
        <w:t xml:space="preserve">Analisis data dilakukan secara deskriptif-analitis guna </w:t>
      </w:r>
      <w:r w:rsidRPr="00C35477">
        <w:rPr>
          <w:rFonts w:ascii="Palatino Linotype" w:hAnsi="Palatino Linotype"/>
        </w:rPr>
        <w:lastRenderedPageBreak/>
        <w:t xml:space="preserve">menginterpretasikan pesan teks asli dan relevansinya dengan tantangan </w:t>
      </w:r>
      <w:r w:rsidR="000C116A">
        <w:rPr>
          <w:rFonts w:ascii="Palatino Linotype" w:hAnsi="Palatino Linotype"/>
        </w:rPr>
        <w:t>ketidaksetaraan jemaat modern.</w:t>
      </w:r>
      <w:r w:rsidR="000C116A">
        <w:rPr>
          <w:rStyle w:val="FootnoteReference"/>
          <w:rFonts w:ascii="Palatino Linotype" w:hAnsi="Palatino Linotype"/>
        </w:rPr>
        <w:footnoteReference w:id="10"/>
      </w:r>
      <w:r w:rsidRPr="00C35477">
        <w:rPr>
          <w:rFonts w:ascii="Palatino Linotype" w:hAnsi="Palatino Linotype"/>
        </w:rPr>
        <w:t xml:space="preserve"> Tujuan akhir dari metodologi ini adalah menghasilkan wawasan teologis yang mampu mengintegrasikan teori keadilan dengan praktik iman yang nyata, sehingga memberikan kontribusi bagi pengembangan teori sosial-keagamaan yang responsif terh</w:t>
      </w:r>
      <w:r w:rsidR="000C116A">
        <w:rPr>
          <w:rFonts w:ascii="Palatino Linotype" w:hAnsi="Palatino Linotype"/>
        </w:rPr>
        <w:t>adap ketidakadilan struktural.</w:t>
      </w:r>
      <w:r w:rsidR="000C116A">
        <w:rPr>
          <w:rStyle w:val="FootnoteReference"/>
          <w:rFonts w:ascii="Palatino Linotype" w:hAnsi="Palatino Linotype"/>
        </w:rPr>
        <w:footnoteReference w:id="11"/>
      </w:r>
    </w:p>
    <w:p w:rsidR="009C15F7" w:rsidRPr="00C35477" w:rsidRDefault="009C15F7" w:rsidP="000C4D50">
      <w:pPr>
        <w:spacing w:after="0" w:line="240" w:lineRule="auto"/>
        <w:jc w:val="both"/>
        <w:rPr>
          <w:rFonts w:ascii="Palatino Linotype" w:eastAsia="Times New Roman" w:hAnsi="Palatino Linotype" w:cs="Times New Roman"/>
          <w:sz w:val="24"/>
          <w:szCs w:val="24"/>
          <w:lang w:eastAsia="id-ID"/>
        </w:rPr>
      </w:pPr>
    </w:p>
    <w:p w:rsidR="009C15F7" w:rsidRPr="00600EEF" w:rsidRDefault="00C54906" w:rsidP="000C4D50">
      <w:pPr>
        <w:spacing w:after="0" w:line="240" w:lineRule="auto"/>
        <w:jc w:val="both"/>
        <w:rPr>
          <w:rFonts w:ascii="Palatino Linotype" w:eastAsia="Times New Roman" w:hAnsi="Palatino Linotype" w:cs="Times New Roman"/>
          <w:b/>
          <w:sz w:val="26"/>
          <w:szCs w:val="26"/>
          <w:lang w:eastAsia="id-ID"/>
        </w:rPr>
      </w:pPr>
      <w:r w:rsidRPr="00600EEF">
        <w:rPr>
          <w:rFonts w:ascii="Palatino Linotype" w:eastAsia="Times New Roman" w:hAnsi="Palatino Linotype" w:cs="Times New Roman"/>
          <w:b/>
          <w:sz w:val="26"/>
          <w:szCs w:val="26"/>
          <w:lang w:eastAsia="id-ID"/>
        </w:rPr>
        <w:t>Pembahasan</w:t>
      </w:r>
    </w:p>
    <w:p w:rsidR="00600EEF" w:rsidRPr="00AB2F91" w:rsidRDefault="00AB2F91" w:rsidP="00AB2F91">
      <w:pPr>
        <w:spacing w:after="0" w:line="240" w:lineRule="auto"/>
        <w:rPr>
          <w:rFonts w:ascii="Palatino Linotype" w:eastAsia="Times New Roman" w:hAnsi="Palatino Linotype" w:cs="Times New Roman"/>
          <w:b/>
          <w:bCs/>
          <w:sz w:val="26"/>
          <w:szCs w:val="26"/>
          <w:lang w:eastAsia="id-ID"/>
        </w:rPr>
      </w:pPr>
      <w:r w:rsidRPr="00AB2F91">
        <w:rPr>
          <w:rFonts w:ascii="Palatino Linotype" w:eastAsia="Times New Roman" w:hAnsi="Palatino Linotype" w:cs="Times New Roman"/>
          <w:b/>
          <w:bCs/>
          <w:sz w:val="26"/>
          <w:szCs w:val="26"/>
          <w:lang w:eastAsia="id-ID"/>
        </w:rPr>
        <w:t>Peran Gereja dalam Mewujudkan Keadilan Sosial</w:t>
      </w:r>
      <w:r w:rsidRPr="00AB2F91">
        <w:rPr>
          <w:rFonts w:ascii="Palatino Linotype" w:eastAsia="Times New Roman" w:hAnsi="Palatino Linotype" w:cs="Times New Roman"/>
          <w:b/>
          <w:bCs/>
          <w:sz w:val="26"/>
          <w:szCs w:val="26"/>
          <w:lang w:eastAsia="id-ID"/>
        </w:rPr>
        <w:t xml:space="preserve"> </w:t>
      </w:r>
      <w:r w:rsidRPr="00AB2F91">
        <w:rPr>
          <w:rFonts w:ascii="Palatino Linotype" w:eastAsia="Times New Roman" w:hAnsi="Palatino Linotype" w:cs="Times New Roman"/>
          <w:b/>
          <w:bCs/>
          <w:sz w:val="26"/>
          <w:szCs w:val="26"/>
          <w:lang w:eastAsia="id-ID"/>
        </w:rPr>
        <w:t>Berdasarkan Eksposisi Yesaya 1:17</w:t>
      </w:r>
    </w:p>
    <w:p w:rsidR="00237076" w:rsidRDefault="00243478" w:rsidP="00237076">
      <w:pPr>
        <w:spacing w:after="0" w:line="240" w:lineRule="auto"/>
        <w:ind w:firstLine="1080"/>
        <w:jc w:val="both"/>
        <w:rPr>
          <w:rFonts w:ascii="Palatino Linotype" w:eastAsia="Times New Roman" w:hAnsi="Palatino Linotype" w:cs="Times New Roman"/>
          <w:sz w:val="24"/>
          <w:szCs w:val="24"/>
          <w:lang w:eastAsia="id-ID"/>
        </w:rPr>
      </w:pPr>
      <w:r w:rsidRPr="00243478">
        <w:rPr>
          <w:rFonts w:ascii="Palatino Linotype" w:eastAsia="Times New Roman" w:hAnsi="Palatino Linotype" w:cs="Times New Roman"/>
          <w:sz w:val="24"/>
          <w:szCs w:val="24"/>
          <w:lang w:eastAsia="id-ID"/>
        </w:rPr>
        <w:t>Yesaya 1:17 muncul sebagai sebuah interupsi profetik di tengah krisis integritas bangsa Yehuda yang terjebak dalam formalisme agama tanpa makna. Pada bagian pemb</w:t>
      </w:r>
      <w:bookmarkStart w:id="0" w:name="_GoBack"/>
      <w:bookmarkEnd w:id="0"/>
      <w:r w:rsidRPr="00243478">
        <w:rPr>
          <w:rFonts w:ascii="Palatino Linotype" w:eastAsia="Times New Roman" w:hAnsi="Palatino Linotype" w:cs="Times New Roman"/>
          <w:sz w:val="24"/>
          <w:szCs w:val="24"/>
          <w:lang w:eastAsia="id-ID"/>
        </w:rPr>
        <w:t xml:space="preserve">uka kitab ini, Allah secara eksplisit menyatakan kemuakan-Nya terhadap perayaan bulan baru, sabat, dan korban bakaran yang dipersembahkan oleh umat (Yes. 1:11–15). Penolakan ilahi ini bukan didasarkan pada kekeliruan prosedur liturgis, melainkan karena tangan umat yang terangkat dalam doa justru "penuh dengan darah" akibat pembiaran terhadap ketidakadilan. Dalam konteks ini, Yesaya 1:17 hadir bukan sekadar sebagai anjuran moral, melainkan sebagai imperatif pertobatan yang radikal. Ayat ini menegaskan bahwa kesalehan spiritual yang sejati tidak dapat dipisahkan dari tanggung jawab sosial. Pemisahan antara relasi vertikal kepada Tuhan dan relasi horizontal kepada sesama dianggap sebagai bentuk </w:t>
      </w:r>
      <w:r w:rsidR="000852E4">
        <w:rPr>
          <w:rFonts w:ascii="Palatino Linotype" w:eastAsia="Times New Roman" w:hAnsi="Palatino Linotype" w:cs="Times New Roman"/>
          <w:sz w:val="24"/>
          <w:szCs w:val="24"/>
          <w:lang w:eastAsia="id-ID"/>
        </w:rPr>
        <w:t>penyimpangan iman yang serius.</w:t>
      </w:r>
      <w:r w:rsidR="000852E4">
        <w:rPr>
          <w:rStyle w:val="FootnoteReference"/>
          <w:rFonts w:ascii="Palatino Linotype" w:eastAsia="Times New Roman" w:hAnsi="Palatino Linotype" w:cs="Times New Roman"/>
          <w:sz w:val="24"/>
          <w:szCs w:val="24"/>
          <w:lang w:eastAsia="id-ID"/>
        </w:rPr>
        <w:footnoteReference w:id="12"/>
      </w:r>
      <w:r w:rsidR="00B71FC1">
        <w:rPr>
          <w:rFonts w:ascii="Palatino Linotype" w:eastAsia="Times New Roman" w:hAnsi="Palatino Linotype" w:cs="Times New Roman"/>
          <w:sz w:val="24"/>
          <w:szCs w:val="24"/>
          <w:lang w:eastAsia="id-ID"/>
        </w:rPr>
        <w:t xml:space="preserve"> </w:t>
      </w:r>
      <w:r w:rsidRPr="00243478">
        <w:rPr>
          <w:rFonts w:ascii="Palatino Linotype" w:eastAsia="Times New Roman" w:hAnsi="Palatino Linotype" w:cs="Times New Roman"/>
          <w:sz w:val="24"/>
          <w:szCs w:val="24"/>
          <w:lang w:eastAsia="id-ID"/>
        </w:rPr>
        <w:t>Allah menuntut umat-Nya untuk berhenti melakukan kejahatan dan mulai "belajar berbuat baik," sebuah frase yang menunjukkan bahwa keadilan bukanlah insting alami yang statis, melainkan sebuah disiplin spiritual yang harus dipelajari dan dipraktikkan secara konsisten dalam struktur masyarakat</w:t>
      </w:r>
      <w:r w:rsidR="000852E4">
        <w:rPr>
          <w:rFonts w:ascii="Palatino Linotype" w:eastAsia="Times New Roman" w:hAnsi="Palatino Linotype" w:cs="Times New Roman"/>
          <w:sz w:val="24"/>
          <w:szCs w:val="24"/>
          <w:lang w:eastAsia="id-ID"/>
        </w:rPr>
        <w:t>.</w:t>
      </w:r>
      <w:r w:rsidR="000852E4">
        <w:rPr>
          <w:rStyle w:val="FootnoteReference"/>
          <w:rFonts w:ascii="Palatino Linotype" w:eastAsia="Times New Roman" w:hAnsi="Palatino Linotype" w:cs="Times New Roman"/>
          <w:sz w:val="24"/>
          <w:szCs w:val="24"/>
          <w:lang w:eastAsia="id-ID"/>
        </w:rPr>
        <w:footnoteReference w:id="13"/>
      </w:r>
    </w:p>
    <w:p w:rsidR="00237076" w:rsidRDefault="00243478" w:rsidP="00237076">
      <w:pPr>
        <w:spacing w:after="0" w:line="240" w:lineRule="auto"/>
        <w:ind w:firstLine="1080"/>
        <w:jc w:val="both"/>
        <w:rPr>
          <w:rFonts w:ascii="Palatino Linotype" w:eastAsia="Times New Roman" w:hAnsi="Palatino Linotype" w:cs="Times New Roman"/>
          <w:sz w:val="24"/>
          <w:szCs w:val="24"/>
          <w:lang w:eastAsia="id-ID"/>
        </w:rPr>
      </w:pPr>
      <w:r w:rsidRPr="00243478">
        <w:rPr>
          <w:rFonts w:ascii="Palatino Linotype" w:eastAsia="Times New Roman" w:hAnsi="Palatino Linotype" w:cs="Times New Roman"/>
          <w:sz w:val="24"/>
          <w:szCs w:val="24"/>
          <w:lang w:eastAsia="id-ID"/>
        </w:rPr>
        <w:t xml:space="preserve">Secara linguistik, teks Ibrani dalam Yesaya 1:17 menggunakan enam kata kerja bentuk imperatif yang bersifat mendesak dan kolektif. Perintah seperti </w:t>
      </w:r>
      <w:proofErr w:type="spellStart"/>
      <w:r w:rsidR="005533F3" w:rsidRPr="005533F3">
        <w:rPr>
          <w:rFonts w:ascii="Palatino Linotype" w:hAnsi="Palatino Linotype" w:cs="Bwtransh"/>
          <w:i/>
          <w:sz w:val="24"/>
          <w:szCs w:val="24"/>
          <w:lang w:val="en-US" w:bidi="he-IL"/>
        </w:rPr>
        <w:t>limdû</w:t>
      </w:r>
      <w:proofErr w:type="spellEnd"/>
      <w:r w:rsidR="005533F3" w:rsidRPr="005533F3">
        <w:rPr>
          <w:rFonts w:ascii="Palatino Linotype" w:hAnsi="Palatino Linotype" w:cs="Bwtransh"/>
          <w:i/>
          <w:sz w:val="24"/>
          <w:szCs w:val="24"/>
          <w:lang w:val="en-US" w:bidi="he-IL"/>
        </w:rPr>
        <w:t xml:space="preserve"> </w:t>
      </w:r>
      <w:proofErr w:type="spellStart"/>
      <w:r w:rsidR="005533F3" w:rsidRPr="005533F3">
        <w:rPr>
          <w:rFonts w:ascii="Palatino Linotype" w:hAnsi="Palatino Linotype" w:cs="Bwtransh"/>
          <w:i/>
          <w:sz w:val="24"/>
          <w:szCs w:val="24"/>
          <w:lang w:val="en-US" w:bidi="he-IL"/>
        </w:rPr>
        <w:t>hê†ëb</w:t>
      </w:r>
      <w:proofErr w:type="spellEnd"/>
      <w:r w:rsidR="005533F3">
        <w:rPr>
          <w:rFonts w:ascii="Arial" w:hAnsi="Arial" w:cs="Arial"/>
          <w:sz w:val="20"/>
          <w:szCs w:val="20"/>
          <w:lang w:bidi="he-IL"/>
        </w:rPr>
        <w:t xml:space="preserve"> </w:t>
      </w:r>
      <w:r w:rsidRPr="00243478">
        <w:rPr>
          <w:rFonts w:ascii="Palatino Linotype" w:eastAsia="Times New Roman" w:hAnsi="Palatino Linotype" w:cs="Times New Roman"/>
          <w:sz w:val="24"/>
          <w:szCs w:val="24"/>
          <w:lang w:eastAsia="id-ID"/>
        </w:rPr>
        <w:t xml:space="preserve">(belajarlah berbuat baik) dan </w:t>
      </w:r>
      <w:proofErr w:type="spellStart"/>
      <w:r w:rsidR="005533F3" w:rsidRPr="005533F3">
        <w:rPr>
          <w:rFonts w:ascii="Palatino Linotype" w:hAnsi="Palatino Linotype" w:cs="Bwtransh"/>
          <w:i/>
          <w:sz w:val="24"/>
          <w:szCs w:val="24"/>
          <w:lang w:val="en-US" w:bidi="he-IL"/>
        </w:rPr>
        <w:t>diršû</w:t>
      </w:r>
      <w:proofErr w:type="spellEnd"/>
      <w:r w:rsidR="005533F3" w:rsidRPr="005533F3">
        <w:rPr>
          <w:rFonts w:ascii="Palatino Linotype" w:hAnsi="Palatino Linotype" w:cs="Bwtransh"/>
          <w:i/>
          <w:sz w:val="24"/>
          <w:szCs w:val="24"/>
          <w:lang w:val="en-US" w:bidi="he-IL"/>
        </w:rPr>
        <w:t xml:space="preserve"> </w:t>
      </w:r>
      <w:proofErr w:type="spellStart"/>
      <w:r w:rsidR="005533F3" w:rsidRPr="005533F3">
        <w:rPr>
          <w:rFonts w:ascii="Palatino Linotype" w:hAnsi="Palatino Linotype" w:cs="Bwtransh"/>
          <w:i/>
          <w:sz w:val="24"/>
          <w:szCs w:val="24"/>
          <w:lang w:val="en-US" w:bidi="he-IL"/>
        </w:rPr>
        <w:t>mišpä</w:t>
      </w:r>
      <w:proofErr w:type="spellEnd"/>
      <w:r w:rsidR="005533F3" w:rsidRPr="005533F3">
        <w:rPr>
          <w:rFonts w:ascii="Palatino Linotype" w:hAnsi="Palatino Linotype" w:cs="Bwtransh"/>
          <w:i/>
          <w:sz w:val="24"/>
          <w:szCs w:val="24"/>
          <w:lang w:val="en-US" w:bidi="he-IL"/>
        </w:rPr>
        <w:t>†</w:t>
      </w:r>
      <w:r w:rsidR="005533F3">
        <w:rPr>
          <w:rFonts w:ascii="Arial" w:hAnsi="Arial" w:cs="Arial"/>
          <w:sz w:val="20"/>
          <w:szCs w:val="20"/>
          <w:lang w:bidi="he-IL"/>
        </w:rPr>
        <w:t xml:space="preserve"> </w:t>
      </w:r>
      <w:r w:rsidRPr="00243478">
        <w:rPr>
          <w:rFonts w:ascii="Palatino Linotype" w:eastAsia="Times New Roman" w:hAnsi="Palatino Linotype" w:cs="Times New Roman"/>
          <w:sz w:val="24"/>
          <w:szCs w:val="24"/>
          <w:lang w:eastAsia="id-ID"/>
        </w:rPr>
        <w:t>(usahakanlah keadilan) menunjukkan bahwa keadilan harus diupayakan secara aktif, bukan se</w:t>
      </w:r>
      <w:r w:rsidR="000852E4">
        <w:rPr>
          <w:rFonts w:ascii="Palatino Linotype" w:eastAsia="Times New Roman" w:hAnsi="Palatino Linotype" w:cs="Times New Roman"/>
          <w:sz w:val="24"/>
          <w:szCs w:val="24"/>
          <w:lang w:eastAsia="id-ID"/>
        </w:rPr>
        <w:t>kadar dinantikan secara pasif.</w:t>
      </w:r>
      <w:r w:rsidR="000852E4">
        <w:rPr>
          <w:rStyle w:val="FootnoteReference"/>
          <w:rFonts w:ascii="Palatino Linotype" w:eastAsia="Times New Roman" w:hAnsi="Palatino Linotype" w:cs="Times New Roman"/>
          <w:sz w:val="24"/>
          <w:szCs w:val="24"/>
          <w:lang w:eastAsia="id-ID"/>
        </w:rPr>
        <w:footnoteReference w:id="14"/>
      </w:r>
      <w:r w:rsidRPr="00243478">
        <w:rPr>
          <w:rFonts w:ascii="Palatino Linotype" w:eastAsia="Times New Roman" w:hAnsi="Palatino Linotype" w:cs="Times New Roman"/>
          <w:sz w:val="24"/>
          <w:szCs w:val="24"/>
          <w:lang w:eastAsia="id-ID"/>
        </w:rPr>
        <w:t xml:space="preserve"> Fokus utama dari perintah ini tertuju pada perlindungan terhadap kelompok yang paling rentan dalam tatanan sosial Timur Dekat Kuno, yaitu anak yatim (</w:t>
      </w:r>
      <w:proofErr w:type="spellStart"/>
      <w:r w:rsidR="00741FD5" w:rsidRPr="00741FD5">
        <w:rPr>
          <w:rFonts w:ascii="Palatino Linotype" w:hAnsi="Palatino Linotype" w:cs="Bwtransh"/>
          <w:i/>
          <w:sz w:val="24"/>
          <w:szCs w:val="24"/>
          <w:lang w:val="en-US" w:bidi="he-IL"/>
        </w:rPr>
        <w:t>yätôm</w:t>
      </w:r>
      <w:proofErr w:type="spellEnd"/>
      <w:r w:rsidRPr="00243478">
        <w:rPr>
          <w:rFonts w:ascii="Palatino Linotype" w:eastAsia="Times New Roman" w:hAnsi="Palatino Linotype" w:cs="Times New Roman"/>
          <w:sz w:val="24"/>
          <w:szCs w:val="24"/>
          <w:lang w:eastAsia="id-ID"/>
        </w:rPr>
        <w:t xml:space="preserve">) dan janda </w:t>
      </w:r>
      <w:r w:rsidRPr="00741FD5">
        <w:rPr>
          <w:rFonts w:ascii="Palatino Linotype" w:eastAsia="Times New Roman" w:hAnsi="Palatino Linotype" w:cs="Times New Roman"/>
          <w:i/>
          <w:sz w:val="24"/>
          <w:szCs w:val="24"/>
          <w:lang w:eastAsia="id-ID"/>
        </w:rPr>
        <w:t>(</w:t>
      </w:r>
      <w:r w:rsidR="00741FD5" w:rsidRPr="00741FD5">
        <w:rPr>
          <w:rFonts w:ascii="Bwtransh" w:hAnsi="Bwtransh" w:cs="Bwtransh"/>
          <w:i/>
          <w:sz w:val="24"/>
          <w:szCs w:val="24"/>
          <w:lang w:val="en-US" w:bidi="he-IL"/>
        </w:rPr>
        <w:t>´</w:t>
      </w:r>
      <w:proofErr w:type="spellStart"/>
      <w:r w:rsidR="00741FD5" w:rsidRPr="00741FD5">
        <w:rPr>
          <w:rFonts w:ascii="Bwtransh" w:hAnsi="Bwtransh" w:cs="Bwtransh"/>
          <w:i/>
          <w:sz w:val="24"/>
          <w:szCs w:val="24"/>
          <w:lang w:val="en-US" w:bidi="he-IL"/>
        </w:rPr>
        <w:t>almänâ</w:t>
      </w:r>
      <w:proofErr w:type="spellEnd"/>
      <w:r w:rsidRPr="00243478">
        <w:rPr>
          <w:rFonts w:ascii="Palatino Linotype" w:eastAsia="Times New Roman" w:hAnsi="Palatino Linotype" w:cs="Times New Roman"/>
          <w:sz w:val="24"/>
          <w:szCs w:val="24"/>
          <w:lang w:eastAsia="id-ID"/>
        </w:rPr>
        <w:t xml:space="preserve">). Dalam struktur masyarakat agraris saat itu, kedua kelompok ini merupakan pihak yang paling kehilangan </w:t>
      </w:r>
      <w:r w:rsidRPr="00243478">
        <w:rPr>
          <w:rFonts w:ascii="Palatino Linotype" w:eastAsia="Times New Roman" w:hAnsi="Palatino Linotype" w:cs="Times New Roman"/>
          <w:sz w:val="24"/>
          <w:szCs w:val="24"/>
          <w:lang w:eastAsia="id-ID"/>
        </w:rPr>
        <w:lastRenderedPageBreak/>
        <w:t xml:space="preserve">perlindungan hukum dan ekonomi karena tidak memiliki kepala keluarga laki-laki sebagai penjamin hak milik. Oleh karena itu, perintah </w:t>
      </w:r>
      <w:proofErr w:type="spellStart"/>
      <w:r w:rsidR="000A07CD" w:rsidRPr="000A07CD">
        <w:rPr>
          <w:rFonts w:ascii="Palatino Linotype" w:hAnsi="Palatino Linotype" w:cs="Bwtransh"/>
          <w:i/>
          <w:sz w:val="24"/>
          <w:szCs w:val="24"/>
          <w:lang w:val="en-US" w:bidi="he-IL"/>
        </w:rPr>
        <w:t>šip†û</w:t>
      </w:r>
      <w:proofErr w:type="spellEnd"/>
      <w:r w:rsidR="000A07CD" w:rsidRPr="000A07CD">
        <w:rPr>
          <w:rFonts w:ascii="Palatino Linotype" w:hAnsi="Palatino Linotype" w:cs="Bwtransh"/>
          <w:i/>
          <w:sz w:val="24"/>
          <w:szCs w:val="24"/>
          <w:lang w:val="en-US" w:bidi="he-IL"/>
        </w:rPr>
        <w:t xml:space="preserve"> </w:t>
      </w:r>
      <w:proofErr w:type="spellStart"/>
      <w:r w:rsidR="000A07CD" w:rsidRPr="000A07CD">
        <w:rPr>
          <w:rFonts w:ascii="Palatino Linotype" w:hAnsi="Palatino Linotype" w:cs="Bwtransh"/>
          <w:i/>
          <w:sz w:val="24"/>
          <w:szCs w:val="24"/>
          <w:lang w:val="en-US" w:bidi="he-IL"/>
        </w:rPr>
        <w:t>yätôm</w:t>
      </w:r>
      <w:proofErr w:type="spellEnd"/>
      <w:r w:rsidR="000A07CD">
        <w:rPr>
          <w:rFonts w:ascii="Arial" w:hAnsi="Arial" w:cs="Arial"/>
          <w:sz w:val="20"/>
          <w:szCs w:val="20"/>
          <w:lang w:val="en-US" w:bidi="he-IL"/>
        </w:rPr>
        <w:t xml:space="preserve"> </w:t>
      </w:r>
      <w:r w:rsidRPr="00243478">
        <w:rPr>
          <w:rFonts w:ascii="Palatino Linotype" w:eastAsia="Times New Roman" w:hAnsi="Palatino Linotype" w:cs="Times New Roman"/>
          <w:sz w:val="24"/>
          <w:szCs w:val="24"/>
          <w:lang w:eastAsia="id-ID"/>
        </w:rPr>
        <w:t xml:space="preserve">(belalah hak anak yatim) dan </w:t>
      </w:r>
      <w:proofErr w:type="spellStart"/>
      <w:r w:rsidR="000A07CD">
        <w:rPr>
          <w:rFonts w:ascii="Palatino Linotype" w:hAnsi="Palatino Linotype" w:cs="Bwtransh"/>
          <w:i/>
          <w:sz w:val="24"/>
          <w:szCs w:val="24"/>
          <w:lang w:val="en-US" w:bidi="he-IL"/>
        </w:rPr>
        <w:t>rî</w:t>
      </w:r>
      <w:r w:rsidR="000A07CD" w:rsidRPr="000A07CD">
        <w:rPr>
          <w:rFonts w:ascii="Palatino Linotype" w:hAnsi="Palatino Linotype" w:cs="Bwtransh"/>
          <w:i/>
          <w:sz w:val="24"/>
          <w:szCs w:val="24"/>
          <w:lang w:val="en-US" w:bidi="he-IL"/>
        </w:rPr>
        <w:t>bû</w:t>
      </w:r>
      <w:proofErr w:type="spellEnd"/>
      <w:r w:rsidR="000A07CD" w:rsidRPr="000A07CD">
        <w:rPr>
          <w:rFonts w:ascii="Palatino Linotype" w:hAnsi="Palatino Linotype" w:cs="Bwtransh"/>
          <w:i/>
          <w:sz w:val="24"/>
          <w:szCs w:val="24"/>
          <w:lang w:val="en-US" w:bidi="he-IL"/>
        </w:rPr>
        <w:t xml:space="preserve"> </w:t>
      </w:r>
      <w:r w:rsidR="000A07CD" w:rsidRPr="00741FD5">
        <w:rPr>
          <w:rFonts w:ascii="Bwtransh" w:hAnsi="Bwtransh" w:cs="Bwtransh"/>
          <w:i/>
          <w:sz w:val="24"/>
          <w:szCs w:val="24"/>
          <w:lang w:val="en-US" w:bidi="he-IL"/>
        </w:rPr>
        <w:t>´</w:t>
      </w:r>
      <w:proofErr w:type="spellStart"/>
      <w:r w:rsidR="000A07CD" w:rsidRPr="00741FD5">
        <w:rPr>
          <w:rFonts w:ascii="Bwtransh" w:hAnsi="Bwtransh" w:cs="Bwtransh"/>
          <w:i/>
          <w:sz w:val="24"/>
          <w:szCs w:val="24"/>
          <w:lang w:val="en-US" w:bidi="he-IL"/>
        </w:rPr>
        <w:t>almänâ</w:t>
      </w:r>
      <w:proofErr w:type="spellEnd"/>
      <w:r w:rsidR="000A07CD" w:rsidRPr="00243478">
        <w:rPr>
          <w:rFonts w:ascii="Palatino Linotype" w:eastAsia="Times New Roman" w:hAnsi="Palatino Linotype" w:cs="Times New Roman"/>
          <w:sz w:val="24"/>
          <w:szCs w:val="24"/>
          <w:lang w:eastAsia="id-ID"/>
        </w:rPr>
        <w:t xml:space="preserve"> </w:t>
      </w:r>
      <w:r w:rsidRPr="00243478">
        <w:rPr>
          <w:rFonts w:ascii="Palatino Linotype" w:eastAsia="Times New Roman" w:hAnsi="Palatino Linotype" w:cs="Times New Roman"/>
          <w:sz w:val="24"/>
          <w:szCs w:val="24"/>
          <w:lang w:eastAsia="id-ID"/>
        </w:rPr>
        <w:t>(perjuangkanlah perkara janda) merupakan mandat ilahi yang menuntut perubahan sistemik agar hukum tidak lagi berpihak pada yang kuat. Tindakan membela kelompok marginal ini mencerminkan karakter Allah sendiri sebagai Hakim yang adil, yang menempatkan kesejahteraan kaum lemah sebagai standar utama keb</w:t>
      </w:r>
      <w:r w:rsidR="000852E4">
        <w:rPr>
          <w:rFonts w:ascii="Palatino Linotype" w:eastAsia="Times New Roman" w:hAnsi="Palatino Linotype" w:cs="Times New Roman"/>
          <w:sz w:val="24"/>
          <w:szCs w:val="24"/>
          <w:lang w:eastAsia="id-ID"/>
        </w:rPr>
        <w:t>erhasilan moral sebuah bangsa.</w:t>
      </w:r>
      <w:r w:rsidR="000852E4">
        <w:rPr>
          <w:rStyle w:val="FootnoteReference"/>
          <w:rFonts w:ascii="Palatino Linotype" w:eastAsia="Times New Roman" w:hAnsi="Palatino Linotype" w:cs="Times New Roman"/>
          <w:sz w:val="24"/>
          <w:szCs w:val="24"/>
          <w:lang w:eastAsia="id-ID"/>
        </w:rPr>
        <w:footnoteReference w:id="15"/>
      </w:r>
      <w:r w:rsidR="00237076">
        <w:rPr>
          <w:rFonts w:ascii="Palatino Linotype" w:eastAsia="Times New Roman" w:hAnsi="Palatino Linotype" w:cs="Times New Roman"/>
          <w:sz w:val="24"/>
          <w:szCs w:val="24"/>
          <w:lang w:eastAsia="id-ID"/>
        </w:rPr>
        <w:t xml:space="preserve"> </w:t>
      </w:r>
      <w:r w:rsidRPr="00243478">
        <w:rPr>
          <w:rFonts w:ascii="Palatino Linotype" w:eastAsia="Times New Roman" w:hAnsi="Palatino Linotype" w:cs="Times New Roman"/>
          <w:sz w:val="24"/>
          <w:szCs w:val="24"/>
          <w:lang w:eastAsia="id-ID"/>
        </w:rPr>
        <w:t xml:space="preserve">Lebih lanjut, Walter Brueggemann menafsirkan seruan ini sebagai imajinasi kenabian yang menantang hegemoni kekuasaan politik dan agama pada masa </w:t>
      </w:r>
      <w:r w:rsidR="00F405B1">
        <w:rPr>
          <w:rFonts w:ascii="Palatino Linotype" w:eastAsia="Times New Roman" w:hAnsi="Palatino Linotype" w:cs="Times New Roman"/>
          <w:sz w:val="24"/>
          <w:szCs w:val="24"/>
          <w:lang w:eastAsia="id-ID"/>
        </w:rPr>
        <w:t>r</w:t>
      </w:r>
      <w:r w:rsidRPr="00243478">
        <w:rPr>
          <w:rFonts w:ascii="Palatino Linotype" w:eastAsia="Times New Roman" w:hAnsi="Palatino Linotype" w:cs="Times New Roman"/>
          <w:sz w:val="24"/>
          <w:szCs w:val="24"/>
          <w:lang w:eastAsia="id-ID"/>
        </w:rPr>
        <w:t>aja Ahas. Di tengah ancaman eksternal dari kekaisaran Asyur, para pemimpin Yehuda cenderung mengabaikan keadilan domestik demi mempertahankan stabilitas kekuasaan. Brueggemann menekankan bahwa Yesaya 1:17 adalah bentuk penolakan terhadap legitimasi agama yang digunakan untu</w:t>
      </w:r>
      <w:r w:rsidR="000852E4">
        <w:rPr>
          <w:rFonts w:ascii="Palatino Linotype" w:eastAsia="Times New Roman" w:hAnsi="Palatino Linotype" w:cs="Times New Roman"/>
          <w:sz w:val="24"/>
          <w:szCs w:val="24"/>
          <w:lang w:eastAsia="id-ID"/>
        </w:rPr>
        <w:t>k menutupi eksploitasi sosial.</w:t>
      </w:r>
      <w:r w:rsidR="000852E4">
        <w:rPr>
          <w:rStyle w:val="FootnoteReference"/>
          <w:rFonts w:ascii="Palatino Linotype" w:eastAsia="Times New Roman" w:hAnsi="Palatino Linotype" w:cs="Times New Roman"/>
          <w:sz w:val="24"/>
          <w:szCs w:val="24"/>
          <w:lang w:eastAsia="id-ID"/>
        </w:rPr>
        <w:footnoteReference w:id="16"/>
      </w:r>
      <w:r w:rsidRPr="00243478">
        <w:rPr>
          <w:rFonts w:ascii="Palatino Linotype" w:eastAsia="Times New Roman" w:hAnsi="Palatino Linotype" w:cs="Times New Roman"/>
          <w:sz w:val="24"/>
          <w:szCs w:val="24"/>
          <w:lang w:eastAsia="id-ID"/>
        </w:rPr>
        <w:t xml:space="preserve"> </w:t>
      </w:r>
    </w:p>
    <w:p w:rsidR="00243478" w:rsidRPr="00243478" w:rsidRDefault="00243478" w:rsidP="00237076">
      <w:pPr>
        <w:spacing w:after="0" w:line="240" w:lineRule="auto"/>
        <w:ind w:firstLine="1080"/>
        <w:jc w:val="both"/>
        <w:rPr>
          <w:rFonts w:ascii="Palatino Linotype" w:eastAsia="Times New Roman" w:hAnsi="Palatino Linotype" w:cs="Times New Roman"/>
          <w:sz w:val="24"/>
          <w:szCs w:val="24"/>
          <w:lang w:eastAsia="id-ID"/>
        </w:rPr>
      </w:pPr>
      <w:r w:rsidRPr="00243478">
        <w:rPr>
          <w:rFonts w:ascii="Palatino Linotype" w:eastAsia="Times New Roman" w:hAnsi="Palatino Linotype" w:cs="Times New Roman"/>
          <w:sz w:val="24"/>
          <w:szCs w:val="24"/>
          <w:lang w:eastAsia="id-ID"/>
        </w:rPr>
        <w:t>Ibadah yang benar harus bertransformasi menjadi keterlibatan aktif dalam mewujudkan tatanan masyarakat yang adil, di mana hak-hak warga negara yang paling rendah sekalipun tetap terjaga. Dengan demikian, ayat ini menghapus dikotomi antara kehidupan rohani dan tanggung jawab sosial; seseorang tidak dapat dikatakan mengasihi Allah jika ia tidak mengusa</w:t>
      </w:r>
      <w:r w:rsidR="00677DD8">
        <w:rPr>
          <w:rFonts w:ascii="Palatino Linotype" w:eastAsia="Times New Roman" w:hAnsi="Palatino Linotype" w:cs="Times New Roman"/>
          <w:sz w:val="24"/>
          <w:szCs w:val="24"/>
          <w:lang w:eastAsia="id-ID"/>
        </w:rPr>
        <w:t>hakan keadilan bagi sesamanya.</w:t>
      </w:r>
      <w:r w:rsidR="00677DD8">
        <w:rPr>
          <w:rStyle w:val="FootnoteReference"/>
          <w:rFonts w:ascii="Palatino Linotype" w:eastAsia="Times New Roman" w:hAnsi="Palatino Linotype" w:cs="Times New Roman"/>
          <w:sz w:val="24"/>
          <w:szCs w:val="24"/>
          <w:lang w:eastAsia="id-ID"/>
        </w:rPr>
        <w:footnoteReference w:id="17"/>
      </w:r>
      <w:r w:rsidRPr="00243478">
        <w:rPr>
          <w:rFonts w:ascii="Palatino Linotype" w:eastAsia="Times New Roman" w:hAnsi="Palatino Linotype" w:cs="Times New Roman"/>
          <w:sz w:val="24"/>
          <w:szCs w:val="24"/>
          <w:lang w:eastAsia="id-ID"/>
        </w:rPr>
        <w:t xml:space="preserve"> Pesan transformatif Yesaya ini menuntut gereja modern untuk tidak hanya berfokus pada pelayanan mimbar, tetapi juga menjadi agen perubahan yang berani mengendalikan kekejaman dan memperbaiki struktur sosial yang masih menindas kelompok-kelom</w:t>
      </w:r>
      <w:r w:rsidR="000852E4">
        <w:rPr>
          <w:rFonts w:ascii="Palatino Linotype" w:eastAsia="Times New Roman" w:hAnsi="Palatino Linotype" w:cs="Times New Roman"/>
          <w:sz w:val="24"/>
          <w:szCs w:val="24"/>
          <w:lang w:eastAsia="id-ID"/>
        </w:rPr>
        <w:t>pok marginal di tengah jemaat.</w:t>
      </w:r>
      <w:r w:rsidR="000852E4">
        <w:rPr>
          <w:rStyle w:val="FootnoteReference"/>
          <w:rFonts w:ascii="Palatino Linotype" w:eastAsia="Times New Roman" w:hAnsi="Palatino Linotype" w:cs="Times New Roman"/>
          <w:sz w:val="24"/>
          <w:szCs w:val="24"/>
          <w:lang w:eastAsia="id-ID"/>
        </w:rPr>
        <w:footnoteReference w:id="18"/>
      </w:r>
    </w:p>
    <w:p w:rsidR="00243478" w:rsidRPr="00243478" w:rsidRDefault="00243478" w:rsidP="000C4D50">
      <w:pPr>
        <w:spacing w:after="0" w:line="240" w:lineRule="auto"/>
        <w:jc w:val="both"/>
        <w:rPr>
          <w:rFonts w:ascii="Palatino Linotype" w:eastAsia="Times New Roman" w:hAnsi="Palatino Linotype" w:cs="Times New Roman"/>
          <w:sz w:val="24"/>
          <w:szCs w:val="24"/>
          <w:lang w:eastAsia="id-ID"/>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Belajarlah Berbuat Baik (Ayat 17a)</w:t>
      </w:r>
    </w:p>
    <w:p w:rsidR="00FE49BD" w:rsidRDefault="009C15F7" w:rsidP="00FE49BD">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Seruan "Belajarlah berbuat baik" (</w:t>
      </w:r>
      <w:proofErr w:type="spellStart"/>
      <w:r w:rsidR="000750D1" w:rsidRPr="005533F3">
        <w:rPr>
          <w:rFonts w:ascii="Palatino Linotype" w:hAnsi="Palatino Linotype" w:cs="Bwtransh"/>
          <w:i/>
          <w:lang w:val="en-US" w:bidi="he-IL"/>
        </w:rPr>
        <w:t>limdû</w:t>
      </w:r>
      <w:proofErr w:type="spellEnd"/>
      <w:r w:rsidR="000750D1" w:rsidRPr="005533F3">
        <w:rPr>
          <w:rFonts w:ascii="Palatino Linotype" w:hAnsi="Palatino Linotype" w:cs="Bwtransh"/>
          <w:i/>
          <w:lang w:val="en-US" w:bidi="he-IL"/>
        </w:rPr>
        <w:t xml:space="preserve"> </w:t>
      </w:r>
      <w:proofErr w:type="spellStart"/>
      <w:r w:rsidR="000750D1" w:rsidRPr="005533F3">
        <w:rPr>
          <w:rFonts w:ascii="Palatino Linotype" w:hAnsi="Palatino Linotype" w:cs="Bwtransh"/>
          <w:i/>
          <w:lang w:val="en-US" w:bidi="he-IL"/>
        </w:rPr>
        <w:t>hê†ëb</w:t>
      </w:r>
      <w:proofErr w:type="spellEnd"/>
      <w:r w:rsidRPr="00C35477">
        <w:rPr>
          <w:rFonts w:ascii="Palatino Linotype" w:hAnsi="Palatino Linotype"/>
        </w:rPr>
        <w:t xml:space="preserve">) dalam Yesaya 1:17a merupakan sebuah imperatif radikal yang muncul di tengah kemerosotan moral bangsa Yehuda. Penggunaan kata kerja </w:t>
      </w:r>
      <w:proofErr w:type="spellStart"/>
      <w:r w:rsidR="000750D1" w:rsidRPr="005533F3">
        <w:rPr>
          <w:rFonts w:ascii="Palatino Linotype" w:hAnsi="Palatino Linotype" w:cs="Bwtransh"/>
          <w:i/>
          <w:lang w:val="en-US" w:bidi="he-IL"/>
        </w:rPr>
        <w:t>limdû</w:t>
      </w:r>
      <w:proofErr w:type="spellEnd"/>
      <w:r w:rsidRPr="00C35477">
        <w:rPr>
          <w:rFonts w:ascii="Palatino Linotype" w:hAnsi="Palatino Linotype"/>
        </w:rPr>
        <w:t xml:space="preserve"> dari akar kata </w:t>
      </w:r>
      <w:r w:rsidRPr="00C35477">
        <w:rPr>
          <w:rFonts w:ascii="Palatino Linotype" w:hAnsi="Palatino Linotype"/>
          <w:i/>
          <w:iCs/>
        </w:rPr>
        <w:t>lamad</w:t>
      </w:r>
      <w:r w:rsidRPr="00C35477">
        <w:rPr>
          <w:rFonts w:ascii="Palatino Linotype" w:hAnsi="Palatino Linotype"/>
        </w:rPr>
        <w:t xml:space="preserve"> menyiratkan bahwa kebajikan bukanlah sebuah insting yang muncul secara otomatis, melainkan sebuah disiplin spiritual yang harus dipelajari, dilatih, dan dibiasakan secara </w:t>
      </w:r>
      <w:r w:rsidR="001A3193">
        <w:rPr>
          <w:rFonts w:ascii="Palatino Linotype" w:hAnsi="Palatino Linotype"/>
        </w:rPr>
        <w:t>sadar dalam kehidupan komunal.</w:t>
      </w:r>
      <w:r w:rsidR="001A3193">
        <w:rPr>
          <w:rStyle w:val="FootnoteReference"/>
          <w:rFonts w:ascii="Palatino Linotype" w:hAnsi="Palatino Linotype"/>
        </w:rPr>
        <w:footnoteReference w:id="19"/>
      </w:r>
      <w:r w:rsidRPr="00C35477">
        <w:rPr>
          <w:rFonts w:ascii="Palatino Linotype" w:hAnsi="Palatino Linotype"/>
        </w:rPr>
        <w:t xml:space="preserve"> Nabi Yesaya menegaskan bahwa Allah tidak lagi berkenan pada ritualitas yang hampa jika tidak dibarengi dengan perubahan karakter sosial yang nyata. Hal ini sejalan dengan pemikiran Thomas Aquinas mengenai pembentukan kebajikan moral (</w:t>
      </w:r>
      <w:r w:rsidRPr="00C35477">
        <w:rPr>
          <w:rFonts w:ascii="Palatino Linotype" w:hAnsi="Palatino Linotype"/>
          <w:i/>
          <w:iCs/>
        </w:rPr>
        <w:t>habitus</w:t>
      </w:r>
      <w:r w:rsidRPr="00C35477">
        <w:rPr>
          <w:rFonts w:ascii="Palatino Linotype" w:hAnsi="Palatino Linotype"/>
        </w:rPr>
        <w:t xml:space="preserve">) yang harus diasah terus-menerus </w:t>
      </w:r>
      <w:r w:rsidRPr="00C35477">
        <w:rPr>
          <w:rFonts w:ascii="Palatino Linotype" w:hAnsi="Palatino Linotype"/>
        </w:rPr>
        <w:lastRenderedPageBreak/>
        <w:t>hingga menjadi watak yang menetap</w:t>
      </w:r>
      <w:r w:rsidR="001A3193">
        <w:rPr>
          <w:rFonts w:ascii="Palatino Linotype" w:hAnsi="Palatino Linotype"/>
        </w:rPr>
        <w:t>.</w:t>
      </w:r>
      <w:r w:rsidR="001A3193">
        <w:rPr>
          <w:rStyle w:val="FootnoteReference"/>
          <w:rFonts w:ascii="Palatino Linotype" w:hAnsi="Palatino Linotype"/>
        </w:rPr>
        <w:footnoteReference w:id="20"/>
      </w:r>
      <w:r w:rsidRPr="00C35477">
        <w:rPr>
          <w:rFonts w:ascii="Palatino Linotype" w:hAnsi="Palatino Linotype"/>
        </w:rPr>
        <w:t xml:space="preserve"> Oleh karena itu, berbuat baik bukan sekadar tindakan sporadis, melainkan sebuah proses panjang pembentukan budaya jemaat yang menjunjung tinggi nilai-nilai kasih karunia Allah sebagai respons atas kebaikan-Nya yang t</w:t>
      </w:r>
      <w:r w:rsidR="001A3193">
        <w:rPr>
          <w:rFonts w:ascii="Palatino Linotype" w:hAnsi="Palatino Linotype"/>
        </w:rPr>
        <w:t>elah diterima terlebih dahulu.</w:t>
      </w:r>
      <w:r w:rsidR="001A3193">
        <w:rPr>
          <w:rStyle w:val="FootnoteReference"/>
          <w:rFonts w:ascii="Palatino Linotype" w:hAnsi="Palatino Linotype"/>
        </w:rPr>
        <w:footnoteReference w:id="21"/>
      </w:r>
      <w:r w:rsidR="00FE49BD">
        <w:rPr>
          <w:rFonts w:ascii="Palatino Linotype" w:hAnsi="Palatino Linotype"/>
        </w:rPr>
        <w:t xml:space="preserve"> </w:t>
      </w:r>
    </w:p>
    <w:p w:rsidR="009C15F7" w:rsidRDefault="009C15F7" w:rsidP="00FE49BD">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Lebih lanjut, perintah ini menuntut gereja untuk hadir sebagai komunitas alternatif atau "polis yang lain" sebagaimana diungkapkan oleh Stanley Hauerwas. Di tengah dunia yang sering kali didominasi oleh kekuasaan dan penindasan, gereja dipanggil untuk menjadi ruang di mana kebaikan dipelajari dan dipraktikkan sebaga</w:t>
      </w:r>
      <w:r w:rsidR="001A3193">
        <w:rPr>
          <w:rFonts w:ascii="Palatino Linotype" w:hAnsi="Palatino Linotype"/>
        </w:rPr>
        <w:t>i identitas sejati umat Allah.</w:t>
      </w:r>
      <w:r w:rsidR="001A3193">
        <w:rPr>
          <w:rStyle w:val="FootnoteReference"/>
          <w:rFonts w:ascii="Palatino Linotype" w:hAnsi="Palatino Linotype"/>
        </w:rPr>
        <w:footnoteReference w:id="22"/>
      </w:r>
      <w:r w:rsidRPr="00C35477">
        <w:rPr>
          <w:rFonts w:ascii="Palatino Linotype" w:hAnsi="Palatino Linotype"/>
        </w:rPr>
        <w:t xml:space="preserve"> Penulis sependapat dengan Hauerwas bahwa peran gereja melampaui pengajaran doktrinal; ia harus menjadi representasi nyata dari nilai Kerajaan Allah yang memihak pada keadilan. Ketika gereja hanya berfokus pada liturgi yang khusyuk namun menutup mata terhadap ketimpangan sosial di sekitarnya, ia telah kehilangan jati dirinya sebagai tubuh Kristus. Mengimplementasikan seruan Yesaya dalam konteks Indonesia saat ini berarti menggerakkan seluruh anggota jemaat untuk aktif menjawab penderitaan sesama, memastikan bahwa iman Kristen diekspresikan melalui tindakan nyata yang menyembuhkan da</w:t>
      </w:r>
      <w:r w:rsidR="001A3193">
        <w:rPr>
          <w:rFonts w:ascii="Palatino Linotype" w:hAnsi="Palatino Linotype"/>
        </w:rPr>
        <w:t>n mengangkat martabat manusia.</w:t>
      </w:r>
      <w:r w:rsidR="001A3193">
        <w:rPr>
          <w:rStyle w:val="FootnoteReference"/>
          <w:rFonts w:ascii="Palatino Linotype" w:hAnsi="Palatino Linotype"/>
        </w:rPr>
        <w:footnoteReference w:id="23"/>
      </w:r>
    </w:p>
    <w:p w:rsidR="00FE49BD" w:rsidRPr="00C35477" w:rsidRDefault="00FE49BD" w:rsidP="00FE49BD">
      <w:pPr>
        <w:pStyle w:val="NormalWeb"/>
        <w:spacing w:before="0" w:beforeAutospacing="0" w:after="0" w:afterAutospacing="0"/>
        <w:ind w:firstLine="1080"/>
        <w:jc w:val="both"/>
        <w:rPr>
          <w:rFonts w:ascii="Palatino Linotype" w:hAnsi="Palatino Linotype"/>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Usahakanlah Keadilan (Ayat 17b)</w:t>
      </w:r>
    </w:p>
    <w:p w:rsidR="00FE49BD" w:rsidRDefault="009C15F7" w:rsidP="00FE49BD">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Perintah "Usahakanlah keadilan" (</w:t>
      </w:r>
      <w:proofErr w:type="spellStart"/>
      <w:r w:rsidR="00CF4721" w:rsidRPr="005533F3">
        <w:rPr>
          <w:rFonts w:ascii="Palatino Linotype" w:hAnsi="Palatino Linotype" w:cs="Bwtransh"/>
          <w:i/>
          <w:lang w:val="en-US" w:bidi="he-IL"/>
        </w:rPr>
        <w:t>diršû</w:t>
      </w:r>
      <w:proofErr w:type="spellEnd"/>
      <w:r w:rsidR="00CF4721" w:rsidRPr="005533F3">
        <w:rPr>
          <w:rFonts w:ascii="Palatino Linotype" w:hAnsi="Palatino Linotype" w:cs="Bwtransh"/>
          <w:i/>
          <w:lang w:val="en-US" w:bidi="he-IL"/>
        </w:rPr>
        <w:t xml:space="preserve"> </w:t>
      </w:r>
      <w:proofErr w:type="spellStart"/>
      <w:r w:rsidR="00CF4721" w:rsidRPr="005533F3">
        <w:rPr>
          <w:rFonts w:ascii="Palatino Linotype" w:hAnsi="Palatino Linotype" w:cs="Bwtransh"/>
          <w:i/>
          <w:lang w:val="en-US" w:bidi="he-IL"/>
        </w:rPr>
        <w:t>mišpä</w:t>
      </w:r>
      <w:proofErr w:type="spellEnd"/>
      <w:r w:rsidR="00CF4721" w:rsidRPr="005533F3">
        <w:rPr>
          <w:rFonts w:ascii="Palatino Linotype" w:hAnsi="Palatino Linotype" w:cs="Bwtransh"/>
          <w:i/>
          <w:lang w:val="en-US" w:bidi="he-IL"/>
        </w:rPr>
        <w:t>†</w:t>
      </w:r>
      <w:r w:rsidRPr="00C35477">
        <w:rPr>
          <w:rFonts w:ascii="Palatino Linotype" w:hAnsi="Palatino Linotype"/>
        </w:rPr>
        <w:t xml:space="preserve">) dalam Yesaya 1:17b mengandung urgensi etis yang menuntut keterlibatan aktif dan sungguh-sungguh. Kata </w:t>
      </w:r>
      <w:proofErr w:type="spellStart"/>
      <w:r w:rsidR="00CF4721" w:rsidRPr="005533F3">
        <w:rPr>
          <w:rFonts w:ascii="Palatino Linotype" w:hAnsi="Palatino Linotype" w:cs="Bwtransh"/>
          <w:i/>
          <w:lang w:val="en-US" w:bidi="he-IL"/>
        </w:rPr>
        <w:t>diršû</w:t>
      </w:r>
      <w:proofErr w:type="spellEnd"/>
      <w:r w:rsidRPr="00C35477">
        <w:rPr>
          <w:rFonts w:ascii="Palatino Linotype" w:hAnsi="Palatino Linotype"/>
        </w:rPr>
        <w:t xml:space="preserve"> bermakna mencari atau menuntut dengan gigih, yang menunjukkan bahwa keadilan tidak akan tercipta dengan sendirinya tanpa u</w:t>
      </w:r>
      <w:r w:rsidR="001A3193">
        <w:rPr>
          <w:rFonts w:ascii="Palatino Linotype" w:hAnsi="Palatino Linotype"/>
        </w:rPr>
        <w:t>paya kolektif yang konsisten.</w:t>
      </w:r>
      <w:r w:rsidR="001A3193">
        <w:rPr>
          <w:rStyle w:val="FootnoteReference"/>
          <w:rFonts w:ascii="Palatino Linotype" w:hAnsi="Palatino Linotype"/>
        </w:rPr>
        <w:footnoteReference w:id="24"/>
      </w:r>
      <w:r w:rsidRPr="00C35477">
        <w:rPr>
          <w:rFonts w:ascii="Palatino Linotype" w:hAnsi="Palatino Linotype"/>
        </w:rPr>
        <w:t xml:space="preserve"> Sementara itu, </w:t>
      </w:r>
      <w:proofErr w:type="spellStart"/>
      <w:r w:rsidR="00CF4721" w:rsidRPr="005533F3">
        <w:rPr>
          <w:rFonts w:ascii="Palatino Linotype" w:hAnsi="Palatino Linotype" w:cs="Bwtransh"/>
          <w:i/>
          <w:lang w:val="en-US" w:bidi="he-IL"/>
        </w:rPr>
        <w:t>mišpä</w:t>
      </w:r>
      <w:proofErr w:type="spellEnd"/>
      <w:r w:rsidR="00CF4721" w:rsidRPr="005533F3">
        <w:rPr>
          <w:rFonts w:ascii="Palatino Linotype" w:hAnsi="Palatino Linotype" w:cs="Bwtransh"/>
          <w:i/>
          <w:lang w:val="en-US" w:bidi="he-IL"/>
        </w:rPr>
        <w:t>†</w:t>
      </w:r>
      <w:r w:rsidRPr="00C35477">
        <w:rPr>
          <w:rFonts w:ascii="Palatino Linotype" w:hAnsi="Palatino Linotype"/>
        </w:rPr>
        <w:t xml:space="preserve"> melampaui sekadar kepatuhan pada hukum formal; ia mencakup pemulihan tatanan moral dan perlindungan bagi mereka yang tertindas. Sebagaimana ditegaskan Nicholas Wolterstorff, keadilan berkaitan erat dengan pengakuan atas hak-hak dasar yang dianugerahkan Allah kepada setiap manusia sebagai gambar-Nya (</w:t>
      </w:r>
      <w:r w:rsidRPr="00C35477">
        <w:rPr>
          <w:rFonts w:ascii="Palatino Linotype" w:hAnsi="Palatino Linotype"/>
          <w:i/>
          <w:iCs/>
        </w:rPr>
        <w:t>Imago Dei</w:t>
      </w:r>
      <w:r w:rsidR="001A3193">
        <w:rPr>
          <w:rFonts w:ascii="Palatino Linotype" w:hAnsi="Palatino Linotype"/>
        </w:rPr>
        <w:t>).</w:t>
      </w:r>
      <w:r w:rsidR="001A3193">
        <w:rPr>
          <w:rStyle w:val="FootnoteReference"/>
          <w:rFonts w:ascii="Palatino Linotype" w:hAnsi="Palatino Linotype"/>
        </w:rPr>
        <w:footnoteReference w:id="25"/>
      </w:r>
      <w:r w:rsidRPr="00C35477">
        <w:rPr>
          <w:rFonts w:ascii="Palatino Linotype" w:hAnsi="Palatino Linotype"/>
        </w:rPr>
        <w:t xml:space="preserve"> Penulis setuju bahwa kewajiban menegakkan keadilan bukan hanya tugas lembaga negara, melainkan panggilan moral setiap orang percaya untuk menghormati martabat sesama sebagai wujud ketaatan kepada Sang Pencipta. Mengabaikan penderitaan sesama berarti mengabaikan kehadiran Allah dalam diri orang tersebut.</w:t>
      </w:r>
    </w:p>
    <w:p w:rsidR="009C15F7" w:rsidRPr="00C35477" w:rsidRDefault="009C15F7" w:rsidP="00FE49BD">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lastRenderedPageBreak/>
        <w:t xml:space="preserve">Dalam perspektif teologis yang lebih luas, keadilan sejati merupakan cerminan dari tatanan ilahi yang harus dimanifestasikan dalam ranah sosial. Agustinus dalam </w:t>
      </w:r>
      <w:r w:rsidR="00347D32">
        <w:rPr>
          <w:rFonts w:ascii="Palatino Linotype" w:hAnsi="Palatino Linotype"/>
          <w:i/>
          <w:iCs/>
        </w:rPr>
        <w:t>tulisannya</w:t>
      </w:r>
      <w:r w:rsidRPr="00C35477">
        <w:rPr>
          <w:rFonts w:ascii="Palatino Linotype" w:hAnsi="Palatino Linotype"/>
        </w:rPr>
        <w:t xml:space="preserve"> memperingatkan bahwa pemerintahan atau komunitas yang mengabaikan keadilan sejati sesungguhnya hanyalah bentuk lain dari</w:t>
      </w:r>
      <w:r w:rsidR="001A3193">
        <w:rPr>
          <w:rFonts w:ascii="Palatino Linotype" w:hAnsi="Palatino Linotype"/>
        </w:rPr>
        <w:t xml:space="preserve"> penindasan yang terorganisir.</w:t>
      </w:r>
      <w:r w:rsidR="001A3193">
        <w:rPr>
          <w:rStyle w:val="FootnoteReference"/>
          <w:rFonts w:ascii="Palatino Linotype" w:hAnsi="Palatino Linotype"/>
        </w:rPr>
        <w:footnoteReference w:id="26"/>
      </w:r>
      <w:r w:rsidRPr="00C35477">
        <w:rPr>
          <w:rFonts w:ascii="Palatino Linotype" w:hAnsi="Palatino Linotype"/>
        </w:rPr>
        <w:t xml:space="preserve"> Pandangan ini diperkuat oleh Dietrich Bonhoeffer yang menekankan bahwa iman Kristen yang sejati harus membawa seseorang keluar dari zona nyaman untuk berdiri </w:t>
      </w:r>
      <w:r w:rsidR="001A3193">
        <w:rPr>
          <w:rFonts w:ascii="Palatino Linotype" w:hAnsi="Palatino Linotype"/>
        </w:rPr>
        <w:t>bersama mereka yang menderita.</w:t>
      </w:r>
      <w:r w:rsidR="001A3193">
        <w:rPr>
          <w:rStyle w:val="FootnoteReference"/>
          <w:rFonts w:ascii="Palatino Linotype" w:hAnsi="Palatino Linotype"/>
        </w:rPr>
        <w:footnoteReference w:id="27"/>
      </w:r>
      <w:r w:rsidRPr="00C35477">
        <w:rPr>
          <w:rFonts w:ascii="Palatino Linotype" w:hAnsi="Palatino Linotype"/>
        </w:rPr>
        <w:t xml:space="preserve"> Penulis sepakat bahwa ibadah ritual menjadi hampa jika dipisahkan dari perjuangan melawan ketidakadilan struktural. Oleh karena itu, "mengusahakan keadilan" bagi jemaat masa kini berarti berani bersuara melawan diskriminasi dan mengadvokasi hak-hak kelompok marginal. Dengan menjadikan keadilan sebagai praktik iman harian, umat Kristen tidak hanya menjalankan kewajiban sosial, tetapi juga berpartisipasi aktif dalam rencana ilahi untuk menghadirkan dam</w:t>
      </w:r>
      <w:r w:rsidR="001A3193">
        <w:rPr>
          <w:rFonts w:ascii="Palatino Linotype" w:hAnsi="Palatino Linotype"/>
        </w:rPr>
        <w:t>ai sejahtera di tengah dunia.</w:t>
      </w:r>
      <w:r w:rsidR="001A3193">
        <w:rPr>
          <w:rStyle w:val="FootnoteReference"/>
          <w:rFonts w:ascii="Palatino Linotype" w:hAnsi="Palatino Linotype"/>
        </w:rPr>
        <w:footnoteReference w:id="28"/>
      </w:r>
    </w:p>
    <w:p w:rsidR="009C15F7" w:rsidRPr="00C35477" w:rsidRDefault="009C15F7" w:rsidP="000C4D50">
      <w:pPr>
        <w:spacing w:after="0" w:line="240" w:lineRule="auto"/>
        <w:jc w:val="both"/>
        <w:rPr>
          <w:rFonts w:ascii="Palatino Linotype" w:hAnsi="Palatino Linotype"/>
          <w:sz w:val="24"/>
          <w:szCs w:val="24"/>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Kendalikan Orang Kejam (Ayat 17c)</w:t>
      </w:r>
    </w:p>
    <w:p w:rsidR="008A470B" w:rsidRDefault="009C15F7" w:rsidP="008A470B">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Seruan profetis "Kendalikan orang kejam" (</w:t>
      </w:r>
      <w:r w:rsidRPr="00C35477">
        <w:rPr>
          <w:rFonts w:ascii="Palatino Linotype" w:hAnsi="Palatino Linotype"/>
          <w:i/>
          <w:iCs/>
        </w:rPr>
        <w:t>ha</w:t>
      </w:r>
      <w:r w:rsidRPr="00C35477">
        <w:rPr>
          <w:i/>
          <w:iCs/>
        </w:rPr>
        <w:t>ʾ</w:t>
      </w:r>
      <w:r w:rsidRPr="00C35477">
        <w:rPr>
          <w:rFonts w:ascii="Palatino Linotype" w:hAnsi="Palatino Linotype" w:cs="Palatino Linotype"/>
          <w:i/>
          <w:iCs/>
        </w:rPr>
        <w:t>ăšî</w:t>
      </w:r>
      <w:r w:rsidRPr="00C35477">
        <w:rPr>
          <w:rFonts w:ascii="Palatino Linotype" w:hAnsi="Palatino Linotype"/>
          <w:i/>
          <w:iCs/>
        </w:rPr>
        <w:t>r</w:t>
      </w:r>
      <w:r w:rsidRPr="00C35477">
        <w:rPr>
          <w:rFonts w:ascii="Palatino Linotype" w:hAnsi="Palatino Linotype" w:cs="Palatino Linotype"/>
          <w:i/>
          <w:iCs/>
        </w:rPr>
        <w:t>û</w:t>
      </w:r>
      <w:r w:rsidRPr="00C35477">
        <w:rPr>
          <w:rFonts w:ascii="Palatino Linotype" w:hAnsi="Palatino Linotype"/>
          <w:i/>
          <w:iCs/>
        </w:rPr>
        <w:t xml:space="preserve"> </w:t>
      </w:r>
      <w:r w:rsidRPr="00C35477">
        <w:rPr>
          <w:i/>
          <w:iCs/>
        </w:rPr>
        <w:t>ḥ</w:t>
      </w:r>
      <w:r w:rsidRPr="00C35477">
        <w:rPr>
          <w:rFonts w:ascii="Palatino Linotype" w:hAnsi="Palatino Linotype" w:cs="Palatino Linotype"/>
          <w:i/>
          <w:iCs/>
        </w:rPr>
        <w:t>ā</w:t>
      </w:r>
      <w:r w:rsidRPr="00C35477">
        <w:rPr>
          <w:rFonts w:ascii="Palatino Linotype" w:hAnsi="Palatino Linotype"/>
          <w:i/>
          <w:iCs/>
        </w:rPr>
        <w:t>m</w:t>
      </w:r>
      <w:r w:rsidRPr="00C35477">
        <w:rPr>
          <w:rFonts w:ascii="Palatino Linotype" w:hAnsi="Palatino Linotype" w:cs="Palatino Linotype"/>
          <w:i/>
          <w:iCs/>
        </w:rPr>
        <w:t>ō</w:t>
      </w:r>
      <w:r w:rsidRPr="00C35477">
        <w:rPr>
          <w:i/>
          <w:iCs/>
        </w:rPr>
        <w:t>ṣ</w:t>
      </w:r>
      <w:r w:rsidRPr="00C35477">
        <w:rPr>
          <w:rFonts w:ascii="Palatino Linotype" w:hAnsi="Palatino Linotype"/>
        </w:rPr>
        <w:t xml:space="preserve">) dalam Yesaya 1:17c memuat pesan restoratif yang mendalam bagi tatanan sosial yang rusak. Secara linguistik, kata </w:t>
      </w:r>
      <w:r w:rsidRPr="00C35477">
        <w:rPr>
          <w:rFonts w:ascii="Palatino Linotype" w:hAnsi="Palatino Linotype"/>
          <w:i/>
          <w:iCs/>
        </w:rPr>
        <w:t>ha</w:t>
      </w:r>
      <w:r w:rsidRPr="00C35477">
        <w:rPr>
          <w:i/>
          <w:iCs/>
        </w:rPr>
        <w:t>ʾ</w:t>
      </w:r>
      <w:r w:rsidRPr="00C35477">
        <w:rPr>
          <w:rFonts w:ascii="Palatino Linotype" w:hAnsi="Palatino Linotype" w:cs="Palatino Linotype"/>
          <w:i/>
          <w:iCs/>
        </w:rPr>
        <w:t>ăšî</w:t>
      </w:r>
      <w:r w:rsidRPr="00C35477">
        <w:rPr>
          <w:rFonts w:ascii="Palatino Linotype" w:hAnsi="Palatino Linotype"/>
          <w:i/>
          <w:iCs/>
        </w:rPr>
        <w:t>r</w:t>
      </w:r>
      <w:r w:rsidRPr="00C35477">
        <w:rPr>
          <w:rFonts w:ascii="Palatino Linotype" w:hAnsi="Palatino Linotype" w:cs="Palatino Linotype"/>
          <w:i/>
          <w:iCs/>
        </w:rPr>
        <w:t>û</w:t>
      </w:r>
      <w:r w:rsidRPr="00C35477">
        <w:rPr>
          <w:rFonts w:ascii="Palatino Linotype" w:hAnsi="Palatino Linotype"/>
        </w:rPr>
        <w:t xml:space="preserve"> yang berasal dari akar kata </w:t>
      </w:r>
      <w:r w:rsidRPr="00C35477">
        <w:rPr>
          <w:rFonts w:ascii="Palatino Linotype" w:hAnsi="Palatino Linotype"/>
          <w:i/>
          <w:iCs/>
        </w:rPr>
        <w:t>’āšar</w:t>
      </w:r>
      <w:r w:rsidRPr="00C35477">
        <w:rPr>
          <w:rFonts w:ascii="Palatino Linotype" w:hAnsi="Palatino Linotype"/>
        </w:rPr>
        <w:t xml:space="preserve"> tidak sekadar berarti menghentikan secara fisik, melainkan membimbing kembali ke jalan yang lurus atau memperb</w:t>
      </w:r>
      <w:r w:rsidR="008A470B">
        <w:rPr>
          <w:rFonts w:ascii="Palatino Linotype" w:hAnsi="Palatino Linotype"/>
        </w:rPr>
        <w:t>aiki karakter moral seseorang.</w:t>
      </w:r>
      <w:r w:rsidR="008A470B">
        <w:rPr>
          <w:rStyle w:val="FootnoteReference"/>
          <w:rFonts w:ascii="Palatino Linotype" w:hAnsi="Palatino Linotype"/>
        </w:rPr>
        <w:footnoteReference w:id="29"/>
      </w:r>
      <w:r w:rsidRPr="00C35477">
        <w:rPr>
          <w:rFonts w:ascii="Palatino Linotype" w:hAnsi="Palatino Linotype"/>
        </w:rPr>
        <w:t xml:space="preserve"> Penekanan ini menunjukkan bahwa keadilan Tuhan tidak hanya bertujuan melindungi korban, tetapi juga mengupayakan pertobatan bagi pelaku kekejaman. Dalam konteks historis Yehuda, di mana elit penguasa sering kali memanipulasi hukum untuk mengeksploitasi kaum miskin, perintah ini menjadi seruan reformasi radikal untuk meruntuhk</w:t>
      </w:r>
      <w:r w:rsidR="008A470B">
        <w:rPr>
          <w:rFonts w:ascii="Palatino Linotype" w:hAnsi="Palatino Linotype"/>
        </w:rPr>
        <w:t>an sistem penindasan tersebut.</w:t>
      </w:r>
      <w:r w:rsidR="008A470B">
        <w:rPr>
          <w:rStyle w:val="FootnoteReference"/>
          <w:rFonts w:ascii="Palatino Linotype" w:hAnsi="Palatino Linotype"/>
        </w:rPr>
        <w:footnoteReference w:id="30"/>
      </w:r>
      <w:r w:rsidRPr="00C35477">
        <w:rPr>
          <w:rFonts w:ascii="Palatino Linotype" w:hAnsi="Palatino Linotype"/>
        </w:rPr>
        <w:t xml:space="preserve"> Sebagaimana pandangan Thomas Aquinas dalam </w:t>
      </w:r>
      <w:r w:rsidRPr="00C35477">
        <w:rPr>
          <w:rFonts w:ascii="Palatino Linotype" w:hAnsi="Palatino Linotype"/>
          <w:i/>
          <w:iCs/>
        </w:rPr>
        <w:t>Summa Theologiae</w:t>
      </w:r>
      <w:r w:rsidRPr="00C35477">
        <w:rPr>
          <w:rFonts w:ascii="Palatino Linotype" w:hAnsi="Palatino Linotype"/>
        </w:rPr>
        <w:t>, keadilan sejati menuntut adanya kebajikan moral dalam komunitas yang melampaui sanksi hukum tertulis, sehingga pengendalian terhadap orang kejam dipahami sebagai upaya edukatif agar me</w:t>
      </w:r>
      <w:r w:rsidR="008A470B">
        <w:rPr>
          <w:rFonts w:ascii="Palatino Linotype" w:hAnsi="Palatino Linotype"/>
        </w:rPr>
        <w:t>reka hidup sesuai hukum kasih.</w:t>
      </w:r>
      <w:r w:rsidR="008A470B">
        <w:rPr>
          <w:rStyle w:val="FootnoteReference"/>
          <w:rFonts w:ascii="Palatino Linotype" w:hAnsi="Palatino Linotype"/>
        </w:rPr>
        <w:footnoteReference w:id="31"/>
      </w:r>
    </w:p>
    <w:p w:rsidR="009C15F7" w:rsidRDefault="009C15F7" w:rsidP="008A470B">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Penulis sependapat dengan pemikiran Agustinus dari Hippo bahwa keadilan manusia sering kali dibelokkan oleh kepentingan dosa, sehingga pengendalian terhadap orang kejam harus diletakkan dalam</w:t>
      </w:r>
      <w:r w:rsidR="008A470B">
        <w:rPr>
          <w:rFonts w:ascii="Palatino Linotype" w:hAnsi="Palatino Linotype"/>
        </w:rPr>
        <w:t xml:space="preserve"> kerangka kasih karunia </w:t>
      </w:r>
      <w:r w:rsidR="008A470B">
        <w:rPr>
          <w:rFonts w:ascii="Palatino Linotype" w:hAnsi="Palatino Linotype"/>
        </w:rPr>
        <w:lastRenderedPageBreak/>
        <w:t>ilahi.</w:t>
      </w:r>
      <w:r w:rsidR="008A470B">
        <w:rPr>
          <w:rStyle w:val="FootnoteReference"/>
          <w:rFonts w:ascii="Palatino Linotype" w:hAnsi="Palatino Linotype"/>
        </w:rPr>
        <w:footnoteReference w:id="32"/>
      </w:r>
      <w:r w:rsidRPr="00C35477">
        <w:rPr>
          <w:rFonts w:ascii="Palatino Linotype" w:hAnsi="Palatino Linotype"/>
        </w:rPr>
        <w:t xml:space="preserve"> Tindakan membimbing pelaku kekejaman untuk berubah bukan sekadar penegakan hukum positif, melainkan bentuk partisipasi dalam karya penebusan Allah yang memulihkan martabat manusia. Di tengah dunia modern yang ditandai oleh kekerasan sistemik dan ketimpangan struktural, gereja dipanggil untuk menjalankan fungsi profetiknya dengan tidak tinggal diam terhadap kekejaman. Hal ini menuntut gereja untuk aktif melakukan advokasi dan transformasi sosial yang berpihak pada kebenaran. Panggilan untuk "mengendalikan orang kejam" akhirnya menjadi misi mulia bagi umat percaya untuk menghadapi kekejaman dengan kekuatan kasih yang menebus, memastikan bahwa keadilan diwujudkan melalui pemulihan karakter dan tatana</w:t>
      </w:r>
      <w:r w:rsidR="008A470B">
        <w:rPr>
          <w:rFonts w:ascii="Palatino Linotype" w:hAnsi="Palatino Linotype"/>
        </w:rPr>
        <w:t>n sosial yang lebih manusiawi.</w:t>
      </w:r>
      <w:r w:rsidR="008A470B">
        <w:rPr>
          <w:rStyle w:val="FootnoteReference"/>
          <w:rFonts w:ascii="Palatino Linotype" w:hAnsi="Palatino Linotype"/>
        </w:rPr>
        <w:footnoteReference w:id="33"/>
      </w:r>
    </w:p>
    <w:p w:rsidR="008A470B" w:rsidRPr="00C35477" w:rsidRDefault="008A470B" w:rsidP="000C4D50">
      <w:pPr>
        <w:pStyle w:val="NormalWeb"/>
        <w:spacing w:before="0" w:beforeAutospacing="0" w:after="0" w:afterAutospacing="0"/>
        <w:jc w:val="both"/>
        <w:rPr>
          <w:rFonts w:ascii="Palatino Linotype" w:hAnsi="Palatino Linotype"/>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Belalah Hak Anak-Anak Yatim (Ayat 17d)</w:t>
      </w:r>
    </w:p>
    <w:p w:rsidR="00863716" w:rsidRDefault="009C15F7" w:rsidP="00863716">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Perintah "Belalah hak anak-anak yatim" (</w:t>
      </w:r>
      <w:proofErr w:type="spellStart"/>
      <w:r w:rsidR="003A7603" w:rsidRPr="003A7603">
        <w:rPr>
          <w:rFonts w:ascii="Palatino Linotype" w:hAnsi="Palatino Linotype" w:cs="Bwtransh"/>
          <w:i/>
          <w:szCs w:val="28"/>
          <w:lang w:val="en-US" w:bidi="he-IL"/>
        </w:rPr>
        <w:t>šip†û</w:t>
      </w:r>
      <w:proofErr w:type="spellEnd"/>
      <w:r w:rsidR="003A7603">
        <w:rPr>
          <w:rFonts w:ascii="Arial" w:hAnsi="Arial" w:cs="Arial"/>
          <w:sz w:val="18"/>
          <w:szCs w:val="20"/>
          <w:lang w:bidi="he-IL"/>
        </w:rPr>
        <w:t xml:space="preserve"> </w:t>
      </w:r>
      <w:r w:rsidRPr="00C35477">
        <w:rPr>
          <w:rFonts w:ascii="Palatino Linotype" w:hAnsi="Palatino Linotype"/>
          <w:i/>
          <w:iCs/>
        </w:rPr>
        <w:t>y</w:t>
      </w:r>
      <w:r w:rsidRPr="00C35477">
        <w:rPr>
          <w:rFonts w:ascii="Palatino Linotype" w:hAnsi="Palatino Linotype" w:cs="Palatino Linotype"/>
          <w:i/>
          <w:iCs/>
        </w:rPr>
        <w:t>ā</w:t>
      </w:r>
      <w:r w:rsidRPr="00C35477">
        <w:rPr>
          <w:rFonts w:ascii="Palatino Linotype" w:hAnsi="Palatino Linotype"/>
          <w:i/>
          <w:iCs/>
        </w:rPr>
        <w:t>t</w:t>
      </w:r>
      <w:r w:rsidRPr="00C35477">
        <w:rPr>
          <w:rFonts w:ascii="Palatino Linotype" w:hAnsi="Palatino Linotype" w:cs="Palatino Linotype"/>
          <w:i/>
          <w:iCs/>
        </w:rPr>
        <w:t>ô</w:t>
      </w:r>
      <w:r w:rsidRPr="00C35477">
        <w:rPr>
          <w:rFonts w:ascii="Palatino Linotype" w:hAnsi="Palatino Linotype"/>
          <w:i/>
          <w:iCs/>
        </w:rPr>
        <w:t>m</w:t>
      </w:r>
      <w:r w:rsidRPr="00C35477">
        <w:rPr>
          <w:rFonts w:ascii="Palatino Linotype" w:hAnsi="Palatino Linotype"/>
        </w:rPr>
        <w:t>) menegaskan keharusan etis bagi umat Tuhan untuk menjadi pelindung bagi kelompok yang paling rentan. Secara harfiah, frasa ini menuntut adanya penghakiman yang adil bagi mereka yang kehilangan perlindunga</w:t>
      </w:r>
      <w:r w:rsidR="008A470B">
        <w:rPr>
          <w:rFonts w:ascii="Palatino Linotype" w:hAnsi="Palatino Linotype"/>
        </w:rPr>
        <w:t>n keluarga dan jaminan sosial.</w:t>
      </w:r>
      <w:r w:rsidR="008A470B">
        <w:rPr>
          <w:rStyle w:val="FootnoteReference"/>
          <w:rFonts w:ascii="Palatino Linotype" w:hAnsi="Palatino Linotype"/>
        </w:rPr>
        <w:footnoteReference w:id="34"/>
      </w:r>
      <w:r w:rsidRPr="00C35477">
        <w:rPr>
          <w:rFonts w:ascii="Palatino Linotype" w:hAnsi="Palatino Linotype"/>
        </w:rPr>
        <w:t xml:space="preserve"> Dalam masyarakat Israel kuno, anak yatim melambangkan ketiadaan pembela hukum dan ekonomi, sehingga mereka sering kali menjadi sasaran eksploitasi. Penegakan hak mereka merupakan cerminan dari karakter Allah sendiri yang dikenal s</w:t>
      </w:r>
      <w:r w:rsidR="008A470B">
        <w:rPr>
          <w:rFonts w:ascii="Palatino Linotype" w:hAnsi="Palatino Linotype"/>
        </w:rPr>
        <w:t>ebagai "Bapa bagi anak yatim.</w:t>
      </w:r>
      <w:r w:rsidR="008A470B">
        <w:rPr>
          <w:rStyle w:val="FootnoteReference"/>
          <w:rFonts w:ascii="Palatino Linotype" w:hAnsi="Palatino Linotype"/>
        </w:rPr>
        <w:footnoteReference w:id="35"/>
      </w:r>
      <w:r w:rsidRPr="00C35477">
        <w:rPr>
          <w:rFonts w:ascii="Palatino Linotype" w:hAnsi="Palatino Linotype"/>
        </w:rPr>
        <w:t xml:space="preserve"> Sebagaimana ditegaskan oleh Abraham Heschel, keadilan bagi kelompok marginal ini merupakan ukuran sejati dari kemurnian ibadah sebuah bangsa. Tanpa adanya keberpihakan nyata kepada mereka yang tak berdaya, segala bentuk ritual keagamaan menjadi tidak berarti di hadapan Allah yang menghendaki kasih sayang di atas korban s</w:t>
      </w:r>
      <w:r w:rsidR="008A470B">
        <w:rPr>
          <w:rFonts w:ascii="Palatino Linotype" w:hAnsi="Palatino Linotype"/>
        </w:rPr>
        <w:t>embelihan.</w:t>
      </w:r>
      <w:r w:rsidR="008A470B">
        <w:rPr>
          <w:rStyle w:val="FootnoteReference"/>
          <w:rFonts w:ascii="Palatino Linotype" w:hAnsi="Palatino Linotype"/>
        </w:rPr>
        <w:footnoteReference w:id="36"/>
      </w:r>
    </w:p>
    <w:p w:rsidR="009C15F7" w:rsidRDefault="009C15F7" w:rsidP="00863716">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Penulis sepakat dengan argumen Agustinus bahwa keadilan sejati tidak pernah ada jika tidak menyentuh mereka yang </w:t>
      </w:r>
      <w:r w:rsidR="008A470B">
        <w:rPr>
          <w:rFonts w:ascii="Palatino Linotype" w:hAnsi="Palatino Linotype"/>
        </w:rPr>
        <w:t>paling kecil dalam masyarakat.</w:t>
      </w:r>
      <w:r w:rsidR="008A470B">
        <w:rPr>
          <w:rStyle w:val="FootnoteReference"/>
          <w:rFonts w:ascii="Palatino Linotype" w:hAnsi="Palatino Linotype"/>
        </w:rPr>
        <w:footnoteReference w:id="37"/>
      </w:r>
      <w:r w:rsidRPr="00C35477">
        <w:rPr>
          <w:rFonts w:ascii="Palatino Linotype" w:hAnsi="Palatino Linotype"/>
        </w:rPr>
        <w:t xml:space="preserve"> Membela anak yatim bukan sekadar bentuk tanggung jawab sosial atau kedermawanan opsional, melainkan wujud nyata kesetiaan kepada Allah yang adil. Di era kontemporer, tugas ini tetap relevan mengingat banyaknya anak-anak yang mengalami penelantaran dan eksploitasi akibat sistem sosial yang abai. Gereja dan orang percaya dipanggil untuk menjadi suara aktif bagi mereka melalui bantuan hukum, pendidikan, dan advokasi sosial yang konkret. Dengan menghadirkan perlindungan bagi anak yatim, umat Kristen sedang mewujudkan nilai-nilai </w:t>
      </w:r>
      <w:r w:rsidRPr="00C35477">
        <w:rPr>
          <w:rFonts w:ascii="Palatino Linotype" w:hAnsi="Palatino Linotype"/>
        </w:rPr>
        <w:lastRenderedPageBreak/>
        <w:t>Kerajaan Allah di dunia. Iman yang hidup harus mampu menerjemahkan kasih menjadi tindakan pembelaan yang konsisten terhadap setiap individu yang kehilangan tumpuan hidupnya, agar martabat mereka sebag</w:t>
      </w:r>
      <w:r w:rsidR="008A470B">
        <w:rPr>
          <w:rFonts w:ascii="Palatino Linotype" w:hAnsi="Palatino Linotype"/>
        </w:rPr>
        <w:t>ai citra Allah tetap terjaga.</w:t>
      </w:r>
      <w:r w:rsidR="008A470B">
        <w:rPr>
          <w:rStyle w:val="FootnoteReference"/>
          <w:rFonts w:ascii="Palatino Linotype" w:hAnsi="Palatino Linotype"/>
        </w:rPr>
        <w:footnoteReference w:id="38"/>
      </w:r>
    </w:p>
    <w:p w:rsidR="00863716" w:rsidRPr="00C35477" w:rsidRDefault="00863716" w:rsidP="00863716">
      <w:pPr>
        <w:pStyle w:val="NormalWeb"/>
        <w:spacing w:before="0" w:beforeAutospacing="0" w:after="0" w:afterAutospacing="0"/>
        <w:ind w:firstLine="1080"/>
        <w:jc w:val="both"/>
        <w:rPr>
          <w:rFonts w:ascii="Palatino Linotype" w:hAnsi="Palatino Linotype"/>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Perjuangkan Perkara Janda-Janda (Ayat 17e)</w:t>
      </w:r>
    </w:p>
    <w:p w:rsidR="009C15F7" w:rsidRPr="00C35477" w:rsidRDefault="009C15F7" w:rsidP="00863716">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Rangkaian perintah etis dalam Yesaya 1:17 ditutup dengan seruan untuk "Perjuangkan perkara janda-janda" (</w:t>
      </w:r>
      <w:proofErr w:type="spellStart"/>
      <w:r w:rsidR="00C66D09">
        <w:rPr>
          <w:rFonts w:ascii="Palatino Linotype" w:hAnsi="Palatino Linotype" w:cs="Bwtransh"/>
          <w:i/>
          <w:lang w:val="en-US" w:bidi="he-IL"/>
        </w:rPr>
        <w:t>rî</w:t>
      </w:r>
      <w:r w:rsidR="00C66D09" w:rsidRPr="000A07CD">
        <w:rPr>
          <w:rFonts w:ascii="Palatino Linotype" w:hAnsi="Palatino Linotype" w:cs="Bwtransh"/>
          <w:i/>
          <w:lang w:val="en-US" w:bidi="he-IL"/>
        </w:rPr>
        <w:t>bû</w:t>
      </w:r>
      <w:proofErr w:type="spellEnd"/>
      <w:r w:rsidR="00C66D09" w:rsidRPr="000A07CD">
        <w:rPr>
          <w:rFonts w:ascii="Palatino Linotype" w:hAnsi="Palatino Linotype" w:cs="Bwtransh"/>
          <w:i/>
          <w:lang w:val="en-US" w:bidi="he-IL"/>
        </w:rPr>
        <w:t xml:space="preserve"> </w:t>
      </w:r>
      <w:r w:rsidR="00C66D09" w:rsidRPr="00741FD5">
        <w:rPr>
          <w:rFonts w:ascii="Bwtransh" w:hAnsi="Bwtransh" w:cs="Bwtransh"/>
          <w:i/>
          <w:lang w:val="en-US" w:bidi="he-IL"/>
        </w:rPr>
        <w:t>´</w:t>
      </w:r>
      <w:proofErr w:type="spellStart"/>
      <w:r w:rsidR="00C66D09" w:rsidRPr="00741FD5">
        <w:rPr>
          <w:rFonts w:ascii="Bwtransh" w:hAnsi="Bwtransh" w:cs="Bwtransh"/>
          <w:i/>
          <w:lang w:val="en-US" w:bidi="he-IL"/>
        </w:rPr>
        <w:t>almänâ</w:t>
      </w:r>
      <w:proofErr w:type="spellEnd"/>
      <w:r w:rsidRPr="00C35477">
        <w:rPr>
          <w:rFonts w:ascii="Palatino Linotype" w:hAnsi="Palatino Linotype"/>
        </w:rPr>
        <w:t xml:space="preserve">). Kata </w:t>
      </w:r>
      <w:proofErr w:type="spellStart"/>
      <w:r w:rsidR="00C66D09">
        <w:rPr>
          <w:rFonts w:ascii="Palatino Linotype" w:hAnsi="Palatino Linotype" w:cs="Bwtransh"/>
          <w:i/>
          <w:lang w:val="en-US" w:bidi="he-IL"/>
        </w:rPr>
        <w:t>rî</w:t>
      </w:r>
      <w:r w:rsidR="00C66D09" w:rsidRPr="000A07CD">
        <w:rPr>
          <w:rFonts w:ascii="Palatino Linotype" w:hAnsi="Palatino Linotype" w:cs="Bwtransh"/>
          <w:i/>
          <w:lang w:val="en-US" w:bidi="he-IL"/>
        </w:rPr>
        <w:t>bû</w:t>
      </w:r>
      <w:proofErr w:type="spellEnd"/>
      <w:r w:rsidRPr="00C35477">
        <w:rPr>
          <w:rFonts w:ascii="Palatino Linotype" w:hAnsi="Palatino Linotype"/>
        </w:rPr>
        <w:t xml:space="preserve"> menyiratkan perjuangan aktif dalam pengadilan untuk mempertahankan hak-hak yang sering kali di</w:t>
      </w:r>
      <w:r w:rsidR="008A470B">
        <w:rPr>
          <w:rFonts w:ascii="Palatino Linotype" w:hAnsi="Palatino Linotype"/>
        </w:rPr>
        <w:t>rampas dalam sengketa sosial.</w:t>
      </w:r>
      <w:r w:rsidR="008A470B">
        <w:rPr>
          <w:rStyle w:val="FootnoteReference"/>
          <w:rFonts w:ascii="Palatino Linotype" w:hAnsi="Palatino Linotype"/>
        </w:rPr>
        <w:footnoteReference w:id="39"/>
      </w:r>
      <w:r w:rsidRPr="00C35477">
        <w:rPr>
          <w:rFonts w:ascii="Palatino Linotype" w:hAnsi="Palatino Linotype"/>
        </w:rPr>
        <w:t xml:space="preserve"> Dalam kebudayaan Timur Dekat Kuno, seorang janda tidak hanya kehilangan pasangan, tetapi juga kehilangan status hukum dan jaminan ekonomi, sehingga posisi mereka sangat terpinggirkan. Hukum Taurat secara tegas menempatkan janda sebagai prioritas perlindungan ilahi, dan Nabi Yesaya mengangkat kembali mandat ini sebagai syarat pemulihan rel</w:t>
      </w:r>
      <w:r w:rsidR="008A470B">
        <w:rPr>
          <w:rFonts w:ascii="Palatino Linotype" w:hAnsi="Palatino Linotype"/>
        </w:rPr>
        <w:t>asi antara umat dengan Tuhan.</w:t>
      </w:r>
      <w:r w:rsidR="008A470B">
        <w:rPr>
          <w:rStyle w:val="FootnoteReference"/>
          <w:rFonts w:ascii="Palatino Linotype" w:hAnsi="Palatino Linotype"/>
        </w:rPr>
        <w:footnoteReference w:id="40"/>
      </w:r>
      <w:r w:rsidRPr="00C35477">
        <w:rPr>
          <w:rFonts w:ascii="Palatino Linotype" w:hAnsi="Palatino Linotype"/>
        </w:rPr>
        <w:t xml:space="preserve"> Kualitas kerohanian sebuah komunitas iman tidak diukur dari megahnya bangunan gereja, melainkan dari sejauh mana mereka bersedia menjadi saluran keadilan bagi para perempuan yang ditinggalkan tan</w:t>
      </w:r>
      <w:r w:rsidR="008A470B">
        <w:rPr>
          <w:rFonts w:ascii="Palatino Linotype" w:hAnsi="Palatino Linotype"/>
        </w:rPr>
        <w:t>pa perlindungan sistemik.</w:t>
      </w:r>
      <w:r w:rsidR="008A470B">
        <w:rPr>
          <w:rStyle w:val="FootnoteReference"/>
          <w:rFonts w:ascii="Palatino Linotype" w:hAnsi="Palatino Linotype"/>
        </w:rPr>
        <w:footnoteReference w:id="41"/>
      </w:r>
    </w:p>
    <w:p w:rsidR="009C15F7" w:rsidRPr="00C35477" w:rsidRDefault="009C15F7"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Penulis sependapat dengan Martin Luther bahwa iman yang hidup harus membebaskan manusia dari struktur ketidakadi</w:t>
      </w:r>
      <w:r w:rsidR="008A470B">
        <w:rPr>
          <w:rFonts w:ascii="Palatino Linotype" w:hAnsi="Palatino Linotype"/>
        </w:rPr>
        <w:t>lan yang menindas kaum lemah.</w:t>
      </w:r>
      <w:r w:rsidR="008A470B">
        <w:rPr>
          <w:rStyle w:val="FootnoteReference"/>
          <w:rFonts w:ascii="Palatino Linotype" w:hAnsi="Palatino Linotype"/>
        </w:rPr>
        <w:footnoteReference w:id="42"/>
      </w:r>
      <w:r w:rsidRPr="00C35477">
        <w:rPr>
          <w:rFonts w:ascii="Palatino Linotype" w:hAnsi="Palatino Linotype"/>
        </w:rPr>
        <w:t xml:space="preserve"> Senada dengan itu, Nicholas Wolterstorff menekankan bahwa memperjuangkan hak para janda adalah panggilan mendasar karena martabat mereka bersumber langsung dari fakta p</w:t>
      </w:r>
      <w:r w:rsidR="008A470B">
        <w:rPr>
          <w:rFonts w:ascii="Palatino Linotype" w:hAnsi="Palatino Linotype"/>
        </w:rPr>
        <w:t>enciptaan menurut rupa Allah.</w:t>
      </w:r>
      <w:r w:rsidR="008A470B">
        <w:rPr>
          <w:rStyle w:val="FootnoteReference"/>
          <w:rFonts w:ascii="Palatino Linotype" w:hAnsi="Palatino Linotype"/>
        </w:rPr>
        <w:footnoteReference w:id="43"/>
      </w:r>
      <w:r w:rsidRPr="00C35477">
        <w:rPr>
          <w:rFonts w:ascii="Palatino Linotype" w:hAnsi="Palatino Linotype"/>
        </w:rPr>
        <w:t xml:space="preserve"> Di masa kini, tantangan ini terwujud dalam berbagai bentuk diskriminasi dan pengabaian terhadap janda dalam akses ekonomi maupun hukum. Gereja tidak boleh menutup mata terhadap realitas ini dan harus berani mendorong kebijakan publik yang inklusif serta menyediakan ruang dukungan bagi mereka. Meneladani keadilan Allah berarti berdiri bersama mereka yang tidak mampu memperjuangkan haknya sendiri. Dengan demikian, perjuangan bagi para janda merupakan bagian integral dari ibadah sejati yang diinginkan Allah, di mana kasih diwujudkan dalam upaya menciptakan masyarakat yang adil dan m</w:t>
      </w:r>
      <w:r w:rsidR="008A470B">
        <w:rPr>
          <w:rFonts w:ascii="Palatino Linotype" w:hAnsi="Palatino Linotype"/>
        </w:rPr>
        <w:t>anusiawi bagi setiap pribadi.</w:t>
      </w:r>
      <w:r w:rsidR="008A470B">
        <w:rPr>
          <w:rStyle w:val="FootnoteReference"/>
          <w:rFonts w:ascii="Palatino Linotype" w:hAnsi="Palatino Linotype"/>
        </w:rPr>
        <w:footnoteReference w:id="44"/>
      </w:r>
    </w:p>
    <w:p w:rsidR="009C15F7" w:rsidRPr="00C35477" w:rsidRDefault="009C15F7" w:rsidP="000C4D50">
      <w:pPr>
        <w:spacing w:after="0" w:line="240" w:lineRule="auto"/>
        <w:jc w:val="both"/>
        <w:rPr>
          <w:rFonts w:ascii="Palatino Linotype" w:hAnsi="Palatino Linotype"/>
          <w:sz w:val="24"/>
          <w:szCs w:val="24"/>
        </w:rPr>
      </w:pPr>
    </w:p>
    <w:p w:rsidR="007A3B6E" w:rsidRPr="00AE60A7" w:rsidRDefault="008A470B" w:rsidP="000C4D50">
      <w:pPr>
        <w:pStyle w:val="Heading2"/>
        <w:spacing w:before="0" w:beforeAutospacing="0" w:after="0" w:afterAutospacing="0"/>
        <w:jc w:val="both"/>
        <w:rPr>
          <w:rFonts w:ascii="Palatino Linotype" w:hAnsi="Palatino Linotype"/>
          <w:sz w:val="26"/>
          <w:szCs w:val="26"/>
        </w:rPr>
      </w:pPr>
      <w:r w:rsidRPr="00AE60A7">
        <w:rPr>
          <w:rFonts w:ascii="Palatino Linotype" w:hAnsi="Palatino Linotype"/>
          <w:sz w:val="26"/>
          <w:szCs w:val="26"/>
        </w:rPr>
        <w:t>Implementasi untuk Mengatasi Ketidaksetaraan Sosial dalam Jemaat</w:t>
      </w:r>
    </w:p>
    <w:p w:rsidR="007A3B6E"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Implementasi keadilan sosial di tengah jemaat merupakan langkah krusial dalam menerjemahkan teologi profetik Yesaya 1:17 ke dalam aksi nyata. Ketidaksetaraan sosial bukan hanya masalah ekonomi, melainkan tantangan rohani yang menguji integritas iman sebuah komunitas percaya. </w:t>
      </w:r>
    </w:p>
    <w:p w:rsidR="00AE60A7" w:rsidRPr="00C35477" w:rsidRDefault="00AE60A7" w:rsidP="000C4D50">
      <w:pPr>
        <w:pStyle w:val="NormalWeb"/>
        <w:spacing w:before="0" w:beforeAutospacing="0" w:after="0" w:afterAutospacing="0"/>
        <w:jc w:val="both"/>
        <w:rPr>
          <w:rFonts w:ascii="Palatino Linotype" w:hAnsi="Palatino Linotype"/>
        </w:rPr>
      </w:pPr>
    </w:p>
    <w:p w:rsidR="007A3B6E" w:rsidRPr="00132F24" w:rsidRDefault="007A3B6E"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Berbuat Baik sebagai Manifestasi Karakter Kristus</w:t>
      </w:r>
    </w:p>
    <w:p w:rsidR="007A3B6E" w:rsidRPr="00C3547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Langkah awal dalam mengatasi ketidaksetaraan adalah menumbuhkan kesadaran kolektif untuk "belajar berbuat baik." Berbuat baik dalam perspektif teologis melampaui sekadar etika sosial; ia adalah perilaku yang bertujuan memberikan manfaat dan kasih sayang secara utuh kepada sesama dan lingkungan. Sebagaimana dijelaskan sebelumnya, kata </w:t>
      </w:r>
      <w:proofErr w:type="spellStart"/>
      <w:r w:rsidR="00BD69D5" w:rsidRPr="00BD69D5">
        <w:rPr>
          <w:rFonts w:ascii="Palatino Linotype" w:hAnsi="Palatino Linotype" w:cs="Bwtransh"/>
          <w:i/>
          <w:szCs w:val="28"/>
          <w:lang w:val="en-US" w:bidi="he-IL"/>
        </w:rPr>
        <w:t>limdû</w:t>
      </w:r>
      <w:proofErr w:type="spellEnd"/>
      <w:r w:rsidRPr="00C35477">
        <w:rPr>
          <w:rFonts w:ascii="Palatino Linotype" w:hAnsi="Palatino Linotype"/>
        </w:rPr>
        <w:t xml:space="preserve"> (belajarlah) mengisyaratkan bahwa kebaikan adalah sebuah disiplin yang harus dididik sec</w:t>
      </w:r>
      <w:r w:rsidR="007A7747">
        <w:rPr>
          <w:rFonts w:ascii="Palatino Linotype" w:hAnsi="Palatino Linotype"/>
        </w:rPr>
        <w:t>ara aktif.</w:t>
      </w:r>
      <w:r w:rsidR="007A7747">
        <w:rPr>
          <w:rStyle w:val="FootnoteReference"/>
          <w:rFonts w:ascii="Palatino Linotype" w:hAnsi="Palatino Linotype"/>
        </w:rPr>
        <w:footnoteReference w:id="45"/>
      </w:r>
      <w:r w:rsidRPr="00C35477">
        <w:rPr>
          <w:rFonts w:ascii="Palatino Linotype" w:hAnsi="Palatino Linotype"/>
        </w:rPr>
        <w:t xml:space="preserve"> Gereja masa kini harus mengimplementasikan hal ini dengan menjadi pusat pembentukan karakter, di mana setiap jemaat diajarkan untuk mengenali penderitaan orang lain sebagai panggilan untuk bertindak. Kebaikan tidak boleh dilakukan secara mekanis, melainkan harus lahir dari motivasi batiniah yang murni. Penulis sependapat dengan Agustinus bahwa kebaikan sejati bersumber dari kasih kepada Allah yang kemudian terpancar kepada sesama. Tanpa relasi yang benar dengan Tuhan, perbuatan baik hanya akan menjadi aksi kemanusiaan yang dangkal dan renta</w:t>
      </w:r>
      <w:r w:rsidR="007A7747">
        <w:rPr>
          <w:rFonts w:ascii="Palatino Linotype" w:hAnsi="Palatino Linotype"/>
        </w:rPr>
        <w:t>n terhadap kesombongan rohani.</w:t>
      </w:r>
      <w:r w:rsidR="007A7747">
        <w:rPr>
          <w:rStyle w:val="FootnoteReference"/>
          <w:rFonts w:ascii="Palatino Linotype" w:hAnsi="Palatino Linotype"/>
        </w:rPr>
        <w:footnoteReference w:id="46"/>
      </w:r>
    </w:p>
    <w:p w:rsidR="007A3B6E"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Implementasi praktis dari berbuat baik dapat diwujudkan melalui program pemberdayaan jemaat yang berfokus pada ketulusan motivasi. Karl Barth menekankan bahwa segala perbuatan baik adalah</w:t>
      </w:r>
      <w:r w:rsidR="007A7747">
        <w:rPr>
          <w:rFonts w:ascii="Palatino Linotype" w:hAnsi="Palatino Linotype"/>
        </w:rPr>
        <w:t xml:space="preserve"> kesaksian akan karya Kristus.</w:t>
      </w:r>
      <w:r w:rsidR="007A7747">
        <w:rPr>
          <w:rStyle w:val="FootnoteReference"/>
          <w:rFonts w:ascii="Palatino Linotype" w:hAnsi="Palatino Linotype"/>
        </w:rPr>
        <w:footnoteReference w:id="47"/>
      </w:r>
      <w:r w:rsidRPr="00C35477">
        <w:rPr>
          <w:rFonts w:ascii="Palatino Linotype" w:hAnsi="Palatino Linotype"/>
        </w:rPr>
        <w:t xml:space="preserve"> Oleh karena itu, setiap aksi sosial gereja—mulai dari pembagian sembako hingga beasiswa pendidikan—harus dipahami sebagai perpanjangan tangan Tuhan. Di tengah dunia yang sering kali mempromosikan kebaikan demi pencitraan, gereja harus menjadi suara profetik yang menunjukkan keberanian moral. Dietrich Bonhoeffer mengingatkan bahwa kebaikan sering kali menuntut risiko</w:t>
      </w:r>
      <w:r w:rsidR="007A7747">
        <w:rPr>
          <w:rFonts w:ascii="Palatino Linotype" w:hAnsi="Palatino Linotype"/>
        </w:rPr>
        <w:t xml:space="preserve"> untuk membela yang tertindas.</w:t>
      </w:r>
      <w:r w:rsidR="007A7747">
        <w:rPr>
          <w:rStyle w:val="FootnoteReference"/>
          <w:rFonts w:ascii="Palatino Linotype" w:hAnsi="Palatino Linotype"/>
        </w:rPr>
        <w:footnoteReference w:id="48"/>
      </w:r>
      <w:r w:rsidRPr="00C35477">
        <w:rPr>
          <w:rFonts w:ascii="Palatino Linotype" w:hAnsi="Palatino Linotype"/>
        </w:rPr>
        <w:t xml:space="preserve"> Penulis sepakat bahwa dalam kondisi ketidakadilan, berbuat baik berarti berani mengambil pilihan moral yang sulit untuk berdiri di sisi kebenaran, bahkan jika itu harus mengorbankan kenyamanan jemaat yang mapan secara ekonomi.</w:t>
      </w:r>
    </w:p>
    <w:p w:rsidR="00AE60A7" w:rsidRPr="00C35477" w:rsidRDefault="00AE60A7" w:rsidP="00AE60A7">
      <w:pPr>
        <w:pStyle w:val="NormalWeb"/>
        <w:spacing w:before="0" w:beforeAutospacing="0" w:after="0" w:afterAutospacing="0"/>
        <w:ind w:firstLine="1080"/>
        <w:jc w:val="both"/>
        <w:rPr>
          <w:rFonts w:ascii="Palatino Linotype" w:hAnsi="Palatino Linotype"/>
        </w:rPr>
      </w:pPr>
    </w:p>
    <w:p w:rsidR="007A3B6E" w:rsidRPr="00132F24" w:rsidRDefault="007A3B6E"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lastRenderedPageBreak/>
        <w:t>Menghidupi Keadilan di Tengah Jemaat</w:t>
      </w:r>
    </w:p>
    <w:p w:rsidR="00AE60A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Hidup adil merupakan pilar kedua yang harus diimplementasikan untuk mengikis jurang ketidaksetaraan. Hidup adil berarti memperlakukan semua orang secara setara (</w:t>
      </w:r>
      <w:r w:rsidRPr="00C35477">
        <w:rPr>
          <w:rFonts w:ascii="Palatino Linotype" w:hAnsi="Palatino Linotype"/>
          <w:i/>
          <w:iCs/>
        </w:rPr>
        <w:t>impartiality</w:t>
      </w:r>
      <w:r w:rsidRPr="00C35477">
        <w:rPr>
          <w:rFonts w:ascii="Palatino Linotype" w:hAnsi="Palatino Linotype"/>
        </w:rPr>
        <w:t xml:space="preserve">) dan memberikan hak setiap orang sesuai dengan martabatnya sebagai citra Allah. Keadilan sejati tidak hanya tentang menaati hukum formal, tetapi tentang menjaga keseimbangan antara hak </w:t>
      </w:r>
      <w:r w:rsidR="007A7747">
        <w:rPr>
          <w:rFonts w:ascii="Palatino Linotype" w:hAnsi="Palatino Linotype"/>
        </w:rPr>
        <w:t>dan kewajiban dalam komunitas.</w:t>
      </w:r>
      <w:r w:rsidR="007A7747">
        <w:rPr>
          <w:rStyle w:val="FootnoteReference"/>
          <w:rFonts w:ascii="Palatino Linotype" w:hAnsi="Palatino Linotype"/>
        </w:rPr>
        <w:footnoteReference w:id="49"/>
      </w:r>
      <w:r w:rsidRPr="00C35477">
        <w:rPr>
          <w:rFonts w:ascii="Palatino Linotype" w:hAnsi="Palatino Linotype"/>
        </w:rPr>
        <w:t xml:space="preserve"> Seruan "usahakanlah keadilan" dalam Yesaya 1:17 menuntut gereja untuk bergerak dari ibadah ritualistik menuju pembelaan praktis bagi kaum marginal. Penulis menekankan bahwa keadilan harus dimulai dari kehidupan internal gereja sendiri. Gereja tidak boleh membeda-bedakan jemaat berdasarkan status sosial, kekuasaan, atau kontribusi finansial. Kepemimpinan yang adil dan transparan dalam pengelolaan keuangan adalah wujud nyata dari keadilan </w:t>
      </w:r>
      <w:r w:rsidR="007A7747">
        <w:rPr>
          <w:rFonts w:ascii="Palatino Linotype" w:hAnsi="Palatino Linotype"/>
        </w:rPr>
        <w:t>yang dapat dilihat oleh dunia.</w:t>
      </w:r>
      <w:r w:rsidR="007A7747">
        <w:rPr>
          <w:rStyle w:val="FootnoteReference"/>
          <w:rFonts w:ascii="Palatino Linotype" w:hAnsi="Palatino Linotype"/>
        </w:rPr>
        <w:footnoteReference w:id="50"/>
      </w:r>
    </w:p>
    <w:p w:rsidR="007A3B6E"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Nicholas Wolterstorff menyatakan bahwa keadilan adalah pengakuan terhadap hak asasi manu</w:t>
      </w:r>
      <w:r w:rsidR="007A7747">
        <w:rPr>
          <w:rFonts w:ascii="Palatino Linotype" w:hAnsi="Palatino Linotype"/>
        </w:rPr>
        <w:t>sia yang diberikan oleh Allah.</w:t>
      </w:r>
      <w:r w:rsidR="007A7747">
        <w:rPr>
          <w:rStyle w:val="FootnoteReference"/>
          <w:rFonts w:ascii="Palatino Linotype" w:hAnsi="Palatino Linotype"/>
        </w:rPr>
        <w:footnoteReference w:id="51"/>
      </w:r>
      <w:r w:rsidRPr="00C35477">
        <w:rPr>
          <w:rFonts w:ascii="Palatino Linotype" w:hAnsi="Palatino Linotype"/>
        </w:rPr>
        <w:t xml:space="preserve"> Penulis setuju bahwa gereja memiliki tanggung jawab moral untuk menerjemahkan iman ke dalam tindakan yang menghormati martabat manusia. Secara praktis, gereja dapat mengimplementasikan hidup adil dengan memberikan kesempatan yang sama bagi setiap anggota jemaat untuk melayani, terlepas dari latar belakang ekonomi mereka. Di luar gereja, implementasi ini melibatkan keterlibatan aktif dalam advokasi kebijakan yang adil. Gereja harus berani bersuara terhadap praktik-praktik sewenang-wenang dalam masyarakat, seperti diskriminasi pekerjaan atau ketidakadilan hukum. Dengan menghidupi keadilan secara aktif, gereja membuktikan bahwa Injil memiliki kekuatan transformatif untuk memperbai</w:t>
      </w:r>
      <w:r w:rsidR="007A7747">
        <w:rPr>
          <w:rFonts w:ascii="Palatino Linotype" w:hAnsi="Palatino Linotype"/>
        </w:rPr>
        <w:t>ki struktur sosial yang rusak.</w:t>
      </w:r>
      <w:r w:rsidR="007A7747">
        <w:rPr>
          <w:rStyle w:val="FootnoteReference"/>
          <w:rFonts w:ascii="Palatino Linotype" w:hAnsi="Palatino Linotype"/>
        </w:rPr>
        <w:footnoteReference w:id="52"/>
      </w:r>
    </w:p>
    <w:p w:rsidR="00AE60A7" w:rsidRPr="00C35477" w:rsidRDefault="00AE60A7" w:rsidP="00AE60A7">
      <w:pPr>
        <w:pStyle w:val="NormalWeb"/>
        <w:spacing w:before="0" w:beforeAutospacing="0" w:after="0" w:afterAutospacing="0"/>
        <w:ind w:firstLine="1080"/>
        <w:jc w:val="both"/>
        <w:rPr>
          <w:rFonts w:ascii="Palatino Linotype" w:hAnsi="Palatino Linotype"/>
        </w:rPr>
      </w:pPr>
    </w:p>
    <w:p w:rsidR="007A3B6E" w:rsidRPr="00132F24" w:rsidRDefault="007A3B6E" w:rsidP="000C4D50">
      <w:pPr>
        <w:pStyle w:val="Heading3"/>
        <w:spacing w:before="0" w:line="240" w:lineRule="auto"/>
        <w:jc w:val="both"/>
        <w:rPr>
          <w:rFonts w:ascii="Palatino Linotype" w:hAnsi="Palatino Linotype"/>
          <w:i/>
          <w:sz w:val="24"/>
          <w:szCs w:val="26"/>
        </w:rPr>
      </w:pPr>
      <w:r w:rsidRPr="00132F24">
        <w:rPr>
          <w:rFonts w:ascii="Palatino Linotype" w:hAnsi="Palatino Linotype"/>
          <w:i/>
          <w:color w:val="auto"/>
          <w:sz w:val="24"/>
          <w:szCs w:val="26"/>
        </w:rPr>
        <w:t>Mengusahakan Kedamaian sebagai Rekonsiliasi Sosial</w:t>
      </w:r>
    </w:p>
    <w:p w:rsidR="00AE60A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Pilar ketiga dalam mengatasi ketidaksetaraan adalah mengusahakan kedamaian. Kedamaian dalam Alkitab bukan sekadar absennya konflik, melainkan adanya keutuhan relasi (</w:t>
      </w:r>
      <w:r w:rsidRPr="00C35477">
        <w:rPr>
          <w:rFonts w:ascii="Palatino Linotype" w:hAnsi="Palatino Linotype"/>
          <w:i/>
          <w:iCs/>
        </w:rPr>
        <w:t>shalom</w:t>
      </w:r>
      <w:r w:rsidRPr="00C35477">
        <w:rPr>
          <w:rFonts w:ascii="Palatino Linotype" w:hAnsi="Palatino Linotype"/>
        </w:rPr>
        <w:t>). Mengusahakan kedamaian merupakan wujud konkret dari hidup adil, karena ketidakadilan sering kali menjadi aka</w:t>
      </w:r>
      <w:r w:rsidR="007A7747">
        <w:rPr>
          <w:rFonts w:ascii="Palatino Linotype" w:hAnsi="Palatino Linotype"/>
        </w:rPr>
        <w:t>r dari perpecahan dan konflik.</w:t>
      </w:r>
      <w:r w:rsidR="007A7747">
        <w:rPr>
          <w:rStyle w:val="FootnoteReference"/>
          <w:rFonts w:ascii="Palatino Linotype" w:hAnsi="Palatino Linotype"/>
        </w:rPr>
        <w:footnoteReference w:id="53"/>
      </w:r>
      <w:r w:rsidRPr="00C35477">
        <w:rPr>
          <w:rFonts w:ascii="Palatino Linotype" w:hAnsi="Palatino Linotype"/>
        </w:rPr>
        <w:t xml:space="preserve"> Gereja masa kini dipanggil untuk menjadi agen rekonsiliasi yang memulihkan hubungan yang rusak antara kelompok kaya dan miskin, atau antara etnis yang berbeda dalam jemaat. Implementasi ini menuntut gereja untuk tidak bersikap pasif, melainkan secara aktif membangun kondisi di mana setiap orang merasa diterima dan dihargai. Penulis sepakat dengan teori </w:t>
      </w:r>
      <w:r w:rsidRPr="00C35477">
        <w:rPr>
          <w:rFonts w:ascii="Palatino Linotype" w:hAnsi="Palatino Linotype"/>
          <w:i/>
          <w:iCs/>
        </w:rPr>
        <w:t xml:space="preserve">ordo </w:t>
      </w:r>
      <w:r w:rsidRPr="00C35477">
        <w:rPr>
          <w:rFonts w:ascii="Palatino Linotype" w:hAnsi="Palatino Linotype"/>
          <w:i/>
          <w:iCs/>
        </w:rPr>
        <w:lastRenderedPageBreak/>
        <w:t>amoris</w:t>
      </w:r>
      <w:r w:rsidRPr="00C35477">
        <w:rPr>
          <w:rFonts w:ascii="Palatino Linotype" w:hAnsi="Palatino Linotype"/>
        </w:rPr>
        <w:t xml:space="preserve"> Agustinus, di mana kedamaian tercipta saat kasih </w:t>
      </w:r>
      <w:r w:rsidR="007A7747">
        <w:rPr>
          <w:rFonts w:ascii="Palatino Linotype" w:hAnsi="Palatino Linotype"/>
        </w:rPr>
        <w:t>diatur sesuai kehendak Allah.</w:t>
      </w:r>
      <w:r w:rsidR="007A7747">
        <w:rPr>
          <w:rStyle w:val="FootnoteReference"/>
          <w:rFonts w:ascii="Palatino Linotype" w:hAnsi="Palatino Linotype"/>
        </w:rPr>
        <w:footnoteReference w:id="54"/>
      </w:r>
    </w:p>
    <w:p w:rsidR="007A3B6E"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Dalam praktik berjemaat, perdamaian dapat diupayakan melalui dialog terbuka dan penyelesaian konflik yang mengedepankan pengampunan daripada penghakiman. Gereja dapat berperan sebagai fasilitator perdamaian dalam masyarakat melalui pelayanan lintas batas, meredakan ketegangan antar kelompok, dan mendukung program rehabilitasi bagi korban kekerasan. Selain itu, pendidikan perdamaian bagi kaum muda sangat penting agar mereka tumbuh sebagai pembawa damai di lingkup keluarga, p</w:t>
      </w:r>
      <w:r w:rsidR="007A7747">
        <w:rPr>
          <w:rFonts w:ascii="Palatino Linotype" w:hAnsi="Palatino Linotype"/>
        </w:rPr>
        <w:t>ekerjaan, dan komunitas luas.</w:t>
      </w:r>
      <w:r w:rsidR="007A7747">
        <w:rPr>
          <w:rStyle w:val="FootnoteReference"/>
          <w:rFonts w:ascii="Palatino Linotype" w:hAnsi="Palatino Linotype"/>
        </w:rPr>
        <w:footnoteReference w:id="55"/>
      </w:r>
      <w:r w:rsidRPr="00C35477">
        <w:rPr>
          <w:rFonts w:ascii="Palatino Linotype" w:hAnsi="Palatino Linotype"/>
        </w:rPr>
        <w:t xml:space="preserve"> Umat yang terdidik secara spiritual untuk menjadi sabar dan penuh kasih akan menjadi garam yang mencegah pembusukan moral akibat polarisasi dan into</w:t>
      </w:r>
      <w:r w:rsidR="007A7747">
        <w:rPr>
          <w:rFonts w:ascii="Palatino Linotype" w:hAnsi="Palatino Linotype"/>
        </w:rPr>
        <w:t>leransi di tengah masyarakat.</w:t>
      </w:r>
      <w:r w:rsidR="007A7747">
        <w:rPr>
          <w:rStyle w:val="FootnoteReference"/>
          <w:rFonts w:ascii="Palatino Linotype" w:hAnsi="Palatino Linotype"/>
        </w:rPr>
        <w:footnoteReference w:id="56"/>
      </w:r>
    </w:p>
    <w:p w:rsidR="00AE60A7" w:rsidRPr="00C35477" w:rsidRDefault="00AE60A7" w:rsidP="00AE60A7">
      <w:pPr>
        <w:pStyle w:val="NormalWeb"/>
        <w:spacing w:before="0" w:beforeAutospacing="0" w:after="0" w:afterAutospacing="0"/>
        <w:ind w:firstLine="1080"/>
        <w:jc w:val="both"/>
        <w:rPr>
          <w:rFonts w:ascii="Palatino Linotype" w:hAnsi="Palatino Linotype"/>
        </w:rPr>
      </w:pPr>
    </w:p>
    <w:p w:rsidR="007A3B6E" w:rsidRPr="00132F24" w:rsidRDefault="007A3B6E"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Keberpihakan dan Kepedulian terhadap Kaum yang Lemah</w:t>
      </w:r>
    </w:p>
    <w:p w:rsidR="00AE60A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Pilar terakhir dan yang paling mendesak adalah kepedulian mendalam terhadap kaum yang lemah. Kelompok lemah mencakup anak yatim, janda, penyandang disabilitas, dan mereka yang terpinggirkan </w:t>
      </w:r>
      <w:r w:rsidR="007A7747">
        <w:rPr>
          <w:rFonts w:ascii="Palatino Linotype" w:hAnsi="Palatino Linotype"/>
        </w:rPr>
        <w:t>secara ekonomi maupun sosial.</w:t>
      </w:r>
      <w:r w:rsidR="007A7747">
        <w:rPr>
          <w:rStyle w:val="FootnoteReference"/>
          <w:rFonts w:ascii="Palatino Linotype" w:hAnsi="Palatino Linotype"/>
        </w:rPr>
        <w:footnoteReference w:id="57"/>
      </w:r>
      <w:r w:rsidRPr="00C35477">
        <w:rPr>
          <w:rFonts w:ascii="Palatino Linotype" w:hAnsi="Palatino Linotype"/>
        </w:rPr>
        <w:t xml:space="preserve"> Kepedulian ini bukan sekadar rasa iba, melainkan empati yang diekspresikan melalui tindakan perlindungan dan pembelaan hak. Dalam terang Yesaya 1:17, keberpihakan kepada mereka yang tidak memiliki akses atau kekuatan adalah bagian tak terpisahkan dari ibadah yang murni. Penulis melihat bahwa kepedulian terhadap kaum lemah merupakan ukuran sejati dari efektivitas misi gereja. Jika gereja hanya sibuk merawat dirinya sendiri tanpa memperhatikan janda dan yatim di sekitarnya, maka ia sedang mengingkari jati d</w:t>
      </w:r>
      <w:r w:rsidR="007A7747">
        <w:rPr>
          <w:rFonts w:ascii="Palatino Linotype" w:hAnsi="Palatino Linotype"/>
        </w:rPr>
        <w:t>irinya sebagai tubuh Kristus.</w:t>
      </w:r>
      <w:r w:rsidR="007A7747">
        <w:rPr>
          <w:rStyle w:val="FootnoteReference"/>
          <w:rFonts w:ascii="Palatino Linotype" w:hAnsi="Palatino Linotype"/>
        </w:rPr>
        <w:footnoteReference w:id="58"/>
      </w:r>
    </w:p>
    <w:p w:rsidR="007A3B6E" w:rsidRPr="00C3547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Implementasi dari kepedulian ini menuntut gereja untuk melakukan pemetaan terhadap kebutuhan nyata jemaat yang rentan. Bantuan tidak boleh hanya bersifat karitatif (sekali habis), tetapi harus bersifat pemberdayaan yang memulihkan kemandirian mereka. Misalnya, gereja dapat menyediakan akses pendidikan bagi anak yatim atau pelatihan keterampilan bagi para janda agar mereka</w:t>
      </w:r>
      <w:r w:rsidR="007A7747">
        <w:rPr>
          <w:rFonts w:ascii="Palatino Linotype" w:hAnsi="Palatino Linotype"/>
        </w:rPr>
        <w:t xml:space="preserve"> memiliki daya saing ekonomi.</w:t>
      </w:r>
      <w:r w:rsidR="007A7747">
        <w:rPr>
          <w:rStyle w:val="FootnoteReference"/>
          <w:rFonts w:ascii="Palatino Linotype" w:hAnsi="Palatino Linotype"/>
        </w:rPr>
        <w:footnoteReference w:id="59"/>
      </w:r>
      <w:r w:rsidRPr="00C35477">
        <w:rPr>
          <w:rFonts w:ascii="Palatino Linotype" w:hAnsi="Palatino Linotype"/>
        </w:rPr>
        <w:t xml:space="preserve"> Lebih jauh lagi, gereja harus menjadi pembela hukum bagi mereka yang tidak mampu memperjuangkan hak-haknya. </w:t>
      </w:r>
      <w:r w:rsidRPr="00C35477">
        <w:rPr>
          <w:rFonts w:ascii="Palatino Linotype" w:hAnsi="Palatino Linotype"/>
        </w:rPr>
        <w:lastRenderedPageBreak/>
        <w:t xml:space="preserve">Dengan menunjukkan kepedulian yang nyata, gereja menghadirkan wajah Allah yang penuh kasih dan adil di dunia. Akhirnya, keberpihakan kepada yang lemah memastikan bahwa tidak ada satu pun anggota komunitas yang tertinggal, sehingga ketidaksetaraan sosial dapat </w:t>
      </w:r>
      <w:r w:rsidR="007A7747">
        <w:rPr>
          <w:rFonts w:ascii="Palatino Linotype" w:hAnsi="Palatino Linotype"/>
        </w:rPr>
        <w:t>diatasi demi kemuliaan Tuhan.</w:t>
      </w:r>
      <w:r w:rsidR="007A7747">
        <w:rPr>
          <w:rStyle w:val="FootnoteReference"/>
          <w:rFonts w:ascii="Palatino Linotype" w:hAnsi="Palatino Linotype"/>
        </w:rPr>
        <w:footnoteReference w:id="60"/>
      </w:r>
    </w:p>
    <w:p w:rsidR="00CC1F73" w:rsidRDefault="00CC1F73" w:rsidP="000C4D50">
      <w:pPr>
        <w:spacing w:after="0" w:line="240" w:lineRule="auto"/>
        <w:jc w:val="both"/>
        <w:rPr>
          <w:rFonts w:ascii="Palatino Linotype" w:hAnsi="Palatino Linotype"/>
          <w:sz w:val="24"/>
          <w:szCs w:val="24"/>
        </w:rPr>
      </w:pPr>
    </w:p>
    <w:p w:rsidR="007A3B6E" w:rsidRPr="00132F24" w:rsidRDefault="007A3B6E" w:rsidP="000C4D50">
      <w:pPr>
        <w:spacing w:after="0" w:line="240" w:lineRule="auto"/>
        <w:jc w:val="both"/>
        <w:rPr>
          <w:rFonts w:ascii="Palatino Linotype" w:eastAsia="Times New Roman" w:hAnsi="Palatino Linotype" w:cs="Times New Roman"/>
          <w:b/>
          <w:sz w:val="26"/>
          <w:szCs w:val="26"/>
          <w:lang w:eastAsia="id-ID"/>
        </w:rPr>
      </w:pPr>
      <w:r w:rsidRPr="00132F24">
        <w:rPr>
          <w:rFonts w:ascii="Palatino Linotype" w:eastAsia="Times New Roman" w:hAnsi="Palatino Linotype" w:cs="Times New Roman"/>
          <w:b/>
          <w:sz w:val="26"/>
          <w:szCs w:val="26"/>
          <w:lang w:eastAsia="id-ID"/>
        </w:rPr>
        <w:t>Kesimpulan</w:t>
      </w:r>
    </w:p>
    <w:p w:rsidR="007A3B6E" w:rsidRPr="007A3B6E" w:rsidRDefault="007A3B6E" w:rsidP="00CC1F73">
      <w:pPr>
        <w:spacing w:after="0" w:line="240" w:lineRule="auto"/>
        <w:ind w:firstLine="1080"/>
        <w:jc w:val="both"/>
        <w:rPr>
          <w:rFonts w:ascii="Palatino Linotype" w:eastAsia="Times New Roman" w:hAnsi="Palatino Linotype" w:cs="Times New Roman"/>
          <w:sz w:val="24"/>
          <w:szCs w:val="24"/>
          <w:lang w:eastAsia="id-ID"/>
        </w:rPr>
      </w:pPr>
      <w:r w:rsidRPr="007A3B6E">
        <w:rPr>
          <w:rFonts w:ascii="Palatino Linotype" w:eastAsia="Times New Roman" w:hAnsi="Palatino Linotype" w:cs="Times New Roman"/>
          <w:sz w:val="24"/>
          <w:szCs w:val="24"/>
          <w:lang w:eastAsia="id-ID"/>
        </w:rPr>
        <w:t>Berdasarkan analisis teologis terhadap Yesaya 1:17, dapat disimpulkan bahwa keadilan sosial merupakan mandat ilahi yang integral bagi iman Kristen, di mana ibadah sejati harus terwujud dalam tindakan nyata membela kaum marginal. Implementasi konsep "belajar berbuat baik" dan "mengusahakan keadilan" menuntut gereja untuk bertransformasi menjadi komunitas alternatif yang aktif mengatasi ketimpangan sosial melalui keberpihakan kepada anak yatim dan janda. Sebagai saran, gereja hendaknya mengintegrasikan pendidikan et</w:t>
      </w:r>
      <w:r w:rsidR="00CC1F73">
        <w:rPr>
          <w:rFonts w:ascii="Palatino Linotype" w:eastAsia="Times New Roman" w:hAnsi="Palatino Linotype" w:cs="Times New Roman"/>
          <w:sz w:val="24"/>
          <w:szCs w:val="24"/>
          <w:lang w:eastAsia="id-ID"/>
        </w:rPr>
        <w:t xml:space="preserve">ika profetik ke dalam pembinaan </w:t>
      </w:r>
      <w:r w:rsidRPr="007A3B6E">
        <w:rPr>
          <w:rFonts w:ascii="Palatino Linotype" w:eastAsia="Times New Roman" w:hAnsi="Palatino Linotype" w:cs="Times New Roman"/>
          <w:sz w:val="24"/>
          <w:szCs w:val="24"/>
          <w:lang w:eastAsia="id-ID"/>
        </w:rPr>
        <w:t>jemaat serta mengembangkan program advokasi yang sistemik, agar peran gereja tidak hanya terbatas pada bantuan karitatif, melainkan mampu menciptakan tatanan masyarakat yang adil, setara, dan mencerminkan kasih Kristus secara holistik.</w:t>
      </w:r>
    </w:p>
    <w:p w:rsidR="007A3B6E" w:rsidRDefault="007A3B6E" w:rsidP="000C4D50">
      <w:pPr>
        <w:spacing w:after="0" w:line="240" w:lineRule="auto"/>
        <w:jc w:val="both"/>
        <w:rPr>
          <w:rFonts w:ascii="Palatino Linotype" w:hAnsi="Palatino Linotype"/>
          <w:sz w:val="24"/>
          <w:szCs w:val="24"/>
        </w:rPr>
      </w:pPr>
    </w:p>
    <w:p w:rsidR="00EC5C58" w:rsidRDefault="00EC5C58" w:rsidP="000C4D50">
      <w:pPr>
        <w:spacing w:after="0" w:line="240" w:lineRule="auto"/>
        <w:jc w:val="both"/>
        <w:rPr>
          <w:rFonts w:ascii="Palatino Linotype" w:hAnsi="Palatino Linotype"/>
          <w:sz w:val="24"/>
          <w:szCs w:val="24"/>
        </w:rPr>
      </w:pPr>
    </w:p>
    <w:p w:rsidR="00F878E4" w:rsidRDefault="00F878E4" w:rsidP="00B430CA">
      <w:pPr>
        <w:pStyle w:val="Heading3"/>
        <w:spacing w:before="0" w:line="240" w:lineRule="auto"/>
        <w:jc w:val="both"/>
        <w:rPr>
          <w:rFonts w:ascii="Palatino Linotype" w:hAnsi="Palatino Linotype"/>
          <w:color w:val="auto"/>
          <w:sz w:val="26"/>
          <w:szCs w:val="26"/>
        </w:rPr>
      </w:pPr>
    </w:p>
    <w:p w:rsidR="00F878E4" w:rsidRDefault="00F878E4" w:rsidP="00B430CA">
      <w:pPr>
        <w:pStyle w:val="Heading3"/>
        <w:spacing w:before="0" w:line="240" w:lineRule="auto"/>
        <w:jc w:val="both"/>
        <w:rPr>
          <w:rFonts w:ascii="Palatino Linotype" w:hAnsi="Palatino Linotype"/>
          <w:color w:val="auto"/>
          <w:sz w:val="26"/>
          <w:szCs w:val="26"/>
        </w:rPr>
      </w:pPr>
    </w:p>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E766BF" w:rsidRPr="00F878E4" w:rsidRDefault="00E766BF" w:rsidP="00F878E4"/>
    <w:p w:rsidR="00B430CA" w:rsidRPr="00EC5C58" w:rsidRDefault="00EC5C58" w:rsidP="00B430CA">
      <w:pPr>
        <w:pStyle w:val="Heading3"/>
        <w:spacing w:before="0" w:line="240" w:lineRule="auto"/>
        <w:jc w:val="both"/>
        <w:rPr>
          <w:rFonts w:ascii="Palatino Linotype" w:hAnsi="Palatino Linotype"/>
          <w:color w:val="auto"/>
          <w:sz w:val="26"/>
          <w:szCs w:val="26"/>
        </w:rPr>
      </w:pPr>
      <w:r w:rsidRPr="00EC5C58">
        <w:rPr>
          <w:rFonts w:ascii="Palatino Linotype" w:hAnsi="Palatino Linotype"/>
          <w:color w:val="auto"/>
          <w:sz w:val="26"/>
          <w:szCs w:val="26"/>
        </w:rPr>
        <w:lastRenderedPageBreak/>
        <w:t>Referensi</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Agustinus. </w:t>
      </w:r>
      <w:r w:rsidRPr="00C35477">
        <w:rPr>
          <w:rFonts w:ascii="Palatino Linotype" w:hAnsi="Palatino Linotype"/>
          <w:i/>
          <w:iCs/>
        </w:rPr>
        <w:t>Kota Allah (De Civitate Dei)</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Agung Prihantoro. Yogyakarta: Penerbit Kanisius, 2010.</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Kota Allah (De Civitate Dei)</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L. Simamora. Jakarta: BPK Gunung Mulia, 2009.</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Pengakuan-Pengakuan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R. Soedarmo. Jakarta: BPK Gunung Mulia, 2002.</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Tentang Kota Allah</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 Sunarto. Yogyakarta: Kanisius, 2004.</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Allis, Oswald T. </w:t>
      </w:r>
      <w:r w:rsidRPr="00C35477">
        <w:rPr>
          <w:rFonts w:ascii="Palatino Linotype" w:hAnsi="Palatino Linotype"/>
          <w:i/>
          <w:iCs/>
        </w:rPr>
        <w:t>Kesatuan Kitab Yesaya</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Amir Sutanto. Surabaya: Momentum, 2008.</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Aquinas, Thomas. </w:t>
      </w:r>
      <w:r w:rsidRPr="00C35477">
        <w:rPr>
          <w:rFonts w:ascii="Palatino Linotype" w:hAnsi="Palatino Linotype"/>
          <w:i/>
          <w:iCs/>
        </w:rPr>
        <w:t>Summa Theologiae</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R. Soedarmo. Jakarta: BPK Gunung Mulia, 2005.</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Barth, Karl. </w:t>
      </w:r>
      <w:r w:rsidRPr="00C35477">
        <w:rPr>
          <w:rFonts w:ascii="Palatino Linotype" w:hAnsi="Palatino Linotype"/>
          <w:i/>
          <w:iCs/>
        </w:rPr>
        <w:t>Dogmatika Gereja</w:t>
      </w:r>
      <w:r w:rsidRPr="00C35477">
        <w:rPr>
          <w:rFonts w:ascii="Palatino Linotype" w:hAnsi="Palatino Linotype"/>
        </w:rPr>
        <w:t xml:space="preserve">, jilid II/1. </w:t>
      </w:r>
      <w:r w:rsidR="009E2E1E">
        <w:rPr>
          <w:rFonts w:ascii="Palatino Linotype" w:hAnsi="Palatino Linotype"/>
        </w:rPr>
        <w:t>Diterjemahkan oleh</w:t>
      </w:r>
      <w:r w:rsidRPr="00C35477">
        <w:rPr>
          <w:rFonts w:ascii="Palatino Linotype" w:hAnsi="Palatino Linotype"/>
        </w:rPr>
        <w:t xml:space="preserve"> S. Notosusanto. Jakarta: BPK Gunung Mulia, 2012.</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Bonhoeffer, Dietrich. </w:t>
      </w:r>
      <w:r w:rsidRPr="00C35477">
        <w:rPr>
          <w:rFonts w:ascii="Palatino Linotype" w:hAnsi="Palatino Linotype"/>
          <w:i/>
          <w:iCs/>
        </w:rPr>
        <w:t>Etika</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Daniel Setiawan. Malang: Gandum Mas, 2010.</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Brown, Francis, S. R. Driver, dan Charles A. Briggs. </w:t>
      </w:r>
      <w:r w:rsidRPr="00C35477">
        <w:rPr>
          <w:rFonts w:ascii="Palatino Linotype" w:hAnsi="Palatino Linotype"/>
          <w:i/>
          <w:iCs/>
        </w:rPr>
        <w:t>Kamus Ibrani–Injil</w:t>
      </w:r>
      <w:r w:rsidRPr="00C35477">
        <w:rPr>
          <w:rFonts w:ascii="Palatino Linotype" w:hAnsi="Palatino Linotype"/>
        </w:rPr>
        <w:t>. Jakarta: Lembaga Alkitab Indonesia, 1996.</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Brueggemann, Walter. </w:t>
      </w:r>
      <w:r w:rsidRPr="00C35477">
        <w:rPr>
          <w:rFonts w:ascii="Palatino Linotype" w:hAnsi="Palatino Linotype"/>
          <w:i/>
          <w:iCs/>
        </w:rPr>
        <w:t>Imajinasi Kenabian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Rinto P. Sinaro. Jakarta: BPK Gunung Mulia, 2001.</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Nabi-Nabi Israel</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D. Siahaan. Jakarta: BPK Gunung Mulia, 2013.</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Teologi Perjanjian Lama: Kesaksian dan Tangkisan, Pembelaan</w:t>
      </w:r>
      <w:r w:rsidRPr="00C35477">
        <w:rPr>
          <w:rFonts w:ascii="Palatino Linotype" w:hAnsi="Palatino Linotype"/>
        </w:rPr>
        <w:t>. Maumere: Ledalero, 2009.</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Calvin, John. </w:t>
      </w:r>
      <w:r w:rsidRPr="00C35477">
        <w:rPr>
          <w:rFonts w:ascii="Palatino Linotype" w:hAnsi="Palatino Linotype"/>
          <w:i/>
          <w:iCs/>
        </w:rPr>
        <w:t>Institusi Agama Kristen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Alkot H. Luturmas dan Jusuf B. Sancoko. Jakarta: BPK Gunung Mulia, 2002.</w:t>
      </w:r>
    </w:p>
    <w:p w:rsidR="00B430CA" w:rsidRPr="00C35477" w:rsidRDefault="00B430CA" w:rsidP="00EC5C58">
      <w:pPr>
        <w:pStyle w:val="NormalWeb"/>
        <w:spacing w:before="0" w:beforeAutospacing="0" w:after="0" w:afterAutospacing="0"/>
        <w:ind w:left="810" w:hanging="810"/>
        <w:jc w:val="both"/>
        <w:rPr>
          <w:rFonts w:ascii="Palatino Linotype" w:hAnsi="Palatino Linotype"/>
        </w:rPr>
      </w:pPr>
      <w:r w:rsidRPr="00C35477">
        <w:rPr>
          <w:rFonts w:ascii="Palatino Linotype" w:hAnsi="Palatino Linotype"/>
        </w:rPr>
        <w:t xml:space="preserve">Cohen, Abraham. </w:t>
      </w:r>
      <w:r w:rsidRPr="00C35477">
        <w:rPr>
          <w:rFonts w:ascii="Palatino Linotype" w:hAnsi="Palatino Linotype"/>
          <w:i/>
          <w:iCs/>
        </w:rPr>
        <w:t>Kitab Nabi-Nabi: Tafsiran dan Penjelasan Alkitab Ibrani</w:t>
      </w:r>
      <w:r w:rsidRPr="00C35477">
        <w:rPr>
          <w:rFonts w:ascii="Palatino Linotype" w:hAnsi="Palatino Linotype"/>
        </w:rPr>
        <w:t>. Jakarta: BPK Gunung Mulia, 2004.</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Creswell, John W. </w:t>
      </w:r>
      <w:r w:rsidRPr="00C35477">
        <w:rPr>
          <w:rFonts w:ascii="Palatino Linotype" w:hAnsi="Palatino Linotype"/>
          <w:i/>
          <w:iCs/>
        </w:rPr>
        <w:t>Research Design: Pendekatan Kualitatif, Kuantitatif, dan Mixed</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Achmad Fawaid dan Rinaldi. Yogyakarta: Pustaka Pelajar, 2017.</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Dear, John. </w:t>
      </w:r>
      <w:r w:rsidRPr="00C35477">
        <w:rPr>
          <w:rFonts w:ascii="Palatino Linotype" w:hAnsi="Palatino Linotype"/>
          <w:i/>
          <w:iCs/>
        </w:rPr>
        <w:t>Keadilan dan Perdamaian: Panduan untuk Aktivis dan Pemimpin Gereja</w:t>
      </w:r>
      <w:r w:rsidRPr="00C35477">
        <w:rPr>
          <w:rFonts w:ascii="Palatino Linotype" w:hAnsi="Palatino Linotype"/>
        </w:rPr>
        <w:t>. New York: Orbis Books, 2020.</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Doenitz, Martin L. </w:t>
      </w:r>
      <w:r w:rsidRPr="00C35477">
        <w:rPr>
          <w:rFonts w:ascii="Palatino Linotype" w:hAnsi="Palatino Linotype"/>
          <w:i/>
          <w:iCs/>
        </w:rPr>
        <w:t>Etika Kristen: Tanggung Jawab Moral dalam Terang Firman Tuhan</w:t>
      </w:r>
      <w:r w:rsidRPr="00C35477">
        <w:rPr>
          <w:rFonts w:ascii="Palatino Linotype" w:hAnsi="Palatino Linotype"/>
        </w:rPr>
        <w:t>. Jakarta: BPK Gunung Mulia, 2011.</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Furnish, Victor P. </w:t>
      </w:r>
      <w:r w:rsidRPr="00C35477">
        <w:rPr>
          <w:rFonts w:ascii="Palatino Linotype" w:hAnsi="Palatino Linotype"/>
          <w:i/>
          <w:iCs/>
        </w:rPr>
        <w:t>Keadilan Sosial dalam Perjanjian Lama</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I. Simanjuntak. Jakarta: BPK Gunung Mulia, 2007.</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Hauerwas, Stanley. </w:t>
      </w:r>
      <w:r w:rsidRPr="00C35477">
        <w:rPr>
          <w:rFonts w:ascii="Palatino Linotype" w:hAnsi="Palatino Linotype"/>
          <w:i/>
          <w:iCs/>
        </w:rPr>
        <w:t>Moralitas dalam Komunitas Kristen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T. Sianipar. Jakarta: BPK Gunung Mulia, 2013.</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Heschel, Abraham J. </w:t>
      </w:r>
      <w:r w:rsidRPr="00C35477">
        <w:rPr>
          <w:rFonts w:ascii="Palatino Linotype" w:hAnsi="Palatino Linotype"/>
          <w:i/>
          <w:iCs/>
        </w:rPr>
        <w:t>Para Nabi</w:t>
      </w:r>
      <w:r w:rsidRPr="00C35477">
        <w:rPr>
          <w:rFonts w:ascii="Palatino Linotype" w:hAnsi="Palatino Linotype"/>
        </w:rPr>
        <w:t>. Jakarta: BPK Gunung Mulia, 2003.</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Keller, Timothy. </w:t>
      </w:r>
      <w:r w:rsidRPr="00C35477">
        <w:rPr>
          <w:rFonts w:ascii="Palatino Linotype" w:hAnsi="Palatino Linotype"/>
          <w:i/>
          <w:iCs/>
        </w:rPr>
        <w:t>Beriman di Tengah Arus Modernisasi</w:t>
      </w:r>
      <w:r w:rsidRPr="00C35477">
        <w:rPr>
          <w:rFonts w:ascii="Palatino Linotype" w:hAnsi="Palatino Linotype"/>
        </w:rPr>
        <w:t>. Jakarta: Literatur Perkantas, 2015.</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lastRenderedPageBreak/>
        <w:t xml:space="preserve">Lumban Toruan, Yohanes. </w:t>
      </w:r>
      <w:r w:rsidRPr="00C35477">
        <w:rPr>
          <w:rFonts w:ascii="Palatino Linotype" w:hAnsi="Palatino Linotype"/>
          <w:i/>
          <w:iCs/>
        </w:rPr>
        <w:t>Dasar-Dasar Bahasa Ibrani</w:t>
      </w:r>
      <w:r w:rsidRPr="00C35477">
        <w:rPr>
          <w:rFonts w:ascii="Palatino Linotype" w:hAnsi="Palatino Linotype"/>
        </w:rPr>
        <w:t>. Jakarta: BPK Gunung Mulia, 2005.</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Luther, Martin. </w:t>
      </w:r>
      <w:r w:rsidRPr="00C35477">
        <w:rPr>
          <w:rFonts w:ascii="Palatino Linotype" w:hAnsi="Palatino Linotype"/>
          <w:i/>
          <w:iCs/>
        </w:rPr>
        <w:t>Komentar Kitab Para Nabi</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 Saragih. Jakarta: BPK Gunung Mulia, 2011.</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Manullang, Togar. </w:t>
      </w:r>
      <w:r w:rsidRPr="00C35477">
        <w:rPr>
          <w:rFonts w:ascii="Palatino Linotype" w:hAnsi="Palatino Linotype"/>
          <w:i/>
          <w:iCs/>
        </w:rPr>
        <w:t>Gereja sebagai Agen Transformasi Sosial</w:t>
      </w:r>
      <w:r w:rsidRPr="00C35477">
        <w:rPr>
          <w:rFonts w:ascii="Palatino Linotype" w:hAnsi="Palatino Linotype"/>
        </w:rPr>
        <w:t>. Jakarta: BPK Gunung Mulia, 2018.</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Nainggolan, Binsar Jonathan. </w:t>
      </w:r>
      <w:r w:rsidRPr="00C35477">
        <w:rPr>
          <w:rFonts w:ascii="Palatino Linotype" w:hAnsi="Palatino Linotype"/>
          <w:i/>
          <w:iCs/>
        </w:rPr>
        <w:t>Etika Sosial Kristen</w:t>
      </w:r>
      <w:r w:rsidRPr="00C35477">
        <w:rPr>
          <w:rFonts w:ascii="Palatino Linotype" w:hAnsi="Palatino Linotype"/>
        </w:rPr>
        <w:t>. Jakarta: BPK Gunung Mulia, 2012.</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O’Brien, Tim. </w:t>
      </w:r>
      <w:r w:rsidRPr="00C35477">
        <w:rPr>
          <w:rFonts w:ascii="Palatino Linotype" w:hAnsi="Palatino Linotype"/>
          <w:i/>
          <w:iCs/>
        </w:rPr>
        <w:t>Gereja dan Keadilan Sosial: Peran Gereja dalam Masyarakat Modern</w:t>
      </w:r>
      <w:r w:rsidRPr="00C35477">
        <w:rPr>
          <w:rFonts w:ascii="Palatino Linotype" w:hAnsi="Palatino Linotype"/>
        </w:rPr>
        <w:t>. Jakarta: BPK Gunung Mulia, 2019.</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Oswalt, John N. </w:t>
      </w:r>
      <w:r w:rsidRPr="00C35477">
        <w:rPr>
          <w:rFonts w:ascii="Palatino Linotype" w:hAnsi="Palatino Linotype"/>
          <w:i/>
          <w:iCs/>
        </w:rPr>
        <w:t>The Book of Isaiah</w:t>
      </w:r>
      <w:r w:rsidRPr="00C35477">
        <w:rPr>
          <w:rFonts w:ascii="Palatino Linotype" w:hAnsi="Palatino Linotype"/>
        </w:rPr>
        <w:t>, jilid 1. Jakarta: BPK Gunung Mulia, 2001.</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Purwanto, Agus. </w:t>
      </w:r>
      <w:r w:rsidRPr="00C35477">
        <w:rPr>
          <w:rFonts w:ascii="Palatino Linotype" w:hAnsi="Palatino Linotype"/>
          <w:i/>
          <w:iCs/>
        </w:rPr>
        <w:t>Keadilan Sosial dalam Perspektif Kitab Suci: Tinjauan Teologis dan Praktis</w:t>
      </w:r>
      <w:r w:rsidRPr="00C35477">
        <w:rPr>
          <w:rFonts w:ascii="Palatino Linotype" w:hAnsi="Palatino Linotype"/>
        </w:rPr>
        <w:t>. Jakarta: Kanisius, 2017.</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Sider, Ronald J. </w:t>
      </w:r>
      <w:r w:rsidRPr="00C35477">
        <w:rPr>
          <w:rFonts w:ascii="Palatino Linotype" w:hAnsi="Palatino Linotype"/>
          <w:i/>
          <w:iCs/>
        </w:rPr>
        <w:t>Kristen Kaya di Zaman Kelaparan: Dari Kemewahan Menuju Kepedulian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Agung Prihantoro. Jakarta: Yayasan Komunikasi Bina Kasih, 2007.</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Stott, John. </w:t>
      </w:r>
      <w:r w:rsidRPr="00C35477">
        <w:rPr>
          <w:rFonts w:ascii="Palatino Linotype" w:hAnsi="Palatino Linotype"/>
          <w:i/>
          <w:iCs/>
        </w:rPr>
        <w:t>Gereja di Persimpangan Jalan: Menjadi Umat Allah di Tengah Dunia</w:t>
      </w:r>
      <w:r w:rsidRPr="00C35477">
        <w:rPr>
          <w:rFonts w:ascii="Palatino Linotype" w:hAnsi="Palatino Linotype"/>
        </w:rPr>
        <w:t>. Malang: Gandum Mas, 2007.</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Tarrien, Samuel. </w:t>
      </w:r>
      <w:r w:rsidRPr="00C35477">
        <w:rPr>
          <w:rFonts w:ascii="Palatino Linotype" w:hAnsi="Palatino Linotype"/>
          <w:i/>
          <w:iCs/>
        </w:rPr>
        <w:t>Perjanjian Lama dan Penghayatan</w:t>
      </w:r>
      <w:r w:rsidRPr="00C35477">
        <w:rPr>
          <w:rFonts w:ascii="Palatino Linotype" w:hAnsi="Palatino Linotype"/>
        </w:rPr>
        <w:t>. Jakarta: BPK Gunung Mulia, 2005.</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The Elusive Presence: Toward a New Biblical Theology</w:t>
      </w:r>
      <w:r w:rsidRPr="00C35477">
        <w:rPr>
          <w:rFonts w:ascii="Palatino Linotype" w:hAnsi="Palatino Linotype"/>
        </w:rPr>
        <w:t>. Jakarta: BPK Gunung Mulia, 2003.</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Viktorahadi, R.F. Bhanu. </w:t>
      </w:r>
      <w:r w:rsidRPr="00C35477">
        <w:rPr>
          <w:rFonts w:ascii="Palatino Linotype" w:hAnsi="Palatino Linotype"/>
          <w:i/>
          <w:iCs/>
        </w:rPr>
        <w:t>Buku Ajar Pengantar Studi Kitab Suci</w:t>
      </w:r>
      <w:r w:rsidRPr="00C35477">
        <w:rPr>
          <w:rFonts w:ascii="Palatino Linotype" w:hAnsi="Palatino Linotype"/>
        </w:rPr>
        <w:t>. Bandung: UIN Sunan Gunung Djati, 2022.</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Widjaja, E. Eddy D. </w:t>
      </w:r>
      <w:r w:rsidRPr="00C35477">
        <w:rPr>
          <w:rFonts w:ascii="Palatino Linotype" w:hAnsi="Palatino Linotype"/>
          <w:i/>
          <w:iCs/>
        </w:rPr>
        <w:t>Misi Gereja dalam Dunia yang Terluka</w:t>
      </w:r>
      <w:r w:rsidRPr="00C35477">
        <w:rPr>
          <w:rFonts w:ascii="Palatino Linotype" w:hAnsi="Palatino Linotype"/>
        </w:rPr>
        <w:t>. Surabaya: Momentum, 2014.</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Widjaja, Hendra. </w:t>
      </w:r>
      <w:r w:rsidRPr="00C35477">
        <w:rPr>
          <w:rFonts w:ascii="Palatino Linotype" w:hAnsi="Palatino Linotype"/>
          <w:i/>
          <w:iCs/>
        </w:rPr>
        <w:t>Gereja dan Keadilan Sosial</w:t>
      </w:r>
      <w:r w:rsidRPr="00C35477">
        <w:rPr>
          <w:rFonts w:ascii="Palatino Linotype" w:hAnsi="Palatino Linotype"/>
        </w:rPr>
        <w:t>. Jakarta: BPK Gunung Mulia, 2015.</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Widyapranawa, Yohanes. </w:t>
      </w:r>
      <w:r w:rsidRPr="00C35477">
        <w:rPr>
          <w:rFonts w:ascii="Palatino Linotype" w:hAnsi="Palatino Linotype"/>
          <w:i/>
          <w:iCs/>
        </w:rPr>
        <w:t>Tafsiran Kitab Nabi Yesaya</w:t>
      </w:r>
      <w:r w:rsidRPr="00C35477">
        <w:rPr>
          <w:rFonts w:ascii="Palatino Linotype" w:hAnsi="Palatino Linotype"/>
        </w:rPr>
        <w:t>. Yogyakarta: Kanisius, 2008.</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Wolterstorff, Nicholas. </w:t>
      </w:r>
      <w:r w:rsidRPr="00C35477">
        <w:rPr>
          <w:rFonts w:ascii="Palatino Linotype" w:hAnsi="Palatino Linotype"/>
          <w:i/>
          <w:iCs/>
        </w:rPr>
        <w:t>Keadilan dan Kasih: Teologi dan Hak Asasi Manusia</w:t>
      </w:r>
      <w:r w:rsidRPr="00C35477">
        <w:rPr>
          <w:rFonts w:ascii="Palatino Linotype" w:hAnsi="Palatino Linotype"/>
        </w:rPr>
        <w:t>. Jakarta: BPK Gunung Mulia, 2017.</w:t>
      </w:r>
    </w:p>
    <w:p w:rsidR="00B430CA" w:rsidRPr="00C35477" w:rsidRDefault="00B430CA" w:rsidP="00607171">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Keadilan dan Martabat Manusia</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M. Harahap. Yogyakarta: Duta Wacana Press, 2015.</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Yong, Amos. </w:t>
      </w:r>
      <w:r w:rsidRPr="00C35477">
        <w:rPr>
          <w:rFonts w:ascii="Palatino Linotype" w:hAnsi="Palatino Linotype"/>
          <w:i/>
          <w:iCs/>
        </w:rPr>
        <w:t>Teologi Sosial dalam Perspektif Injili</w:t>
      </w:r>
      <w:r w:rsidRPr="00C35477">
        <w:rPr>
          <w:rFonts w:ascii="Palatino Linotype" w:hAnsi="Palatino Linotype"/>
        </w:rPr>
        <w:t>. Jakarta: BPK Gunung Mulia, 2017.</w:t>
      </w:r>
    </w:p>
    <w:p w:rsidR="00B430CA" w:rsidRPr="00C35477" w:rsidRDefault="00B430CA" w:rsidP="001D50A0">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Young, Edward J. </w:t>
      </w:r>
      <w:r w:rsidRPr="00C35477">
        <w:rPr>
          <w:rFonts w:ascii="Palatino Linotype" w:hAnsi="Palatino Linotype"/>
          <w:i/>
          <w:iCs/>
        </w:rPr>
        <w:t>Kitab Nabi Yesaya Jilid I: Pasal 1–18</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P. Manulang. Malang: Gandum Mas, 1992.</w:t>
      </w:r>
      <w:r w:rsidR="001D50A0" w:rsidRPr="00C35477">
        <w:rPr>
          <w:rFonts w:ascii="Palatino Linotype" w:hAnsi="Palatino Linotype"/>
        </w:rPr>
        <w:t xml:space="preserve"> </w:t>
      </w:r>
    </w:p>
    <w:sectPr w:rsidR="00B430CA" w:rsidRPr="00C35477" w:rsidSect="00617C82">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65" w:rsidRDefault="009E7565" w:rsidP="004518EF">
      <w:pPr>
        <w:spacing w:after="0" w:line="240" w:lineRule="auto"/>
      </w:pPr>
      <w:r>
        <w:separator/>
      </w:r>
    </w:p>
  </w:endnote>
  <w:endnote w:type="continuationSeparator" w:id="0">
    <w:p w:rsidR="009E7565" w:rsidRDefault="009E7565" w:rsidP="0045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wtransh">
    <w:panose1 w:val="02020600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ootlight MT Light" w:hAnsi="Footlight MT Light"/>
      </w:rPr>
      <w:id w:val="-1504660620"/>
      <w:docPartObj>
        <w:docPartGallery w:val="Page Numbers (Bottom of Page)"/>
        <w:docPartUnique/>
      </w:docPartObj>
    </w:sdtPr>
    <w:sdtEndPr/>
    <w:sdtContent>
      <w:p w:rsidR="00617C82" w:rsidRPr="00617C82" w:rsidRDefault="00617C82" w:rsidP="00617C82">
        <w:pPr>
          <w:pStyle w:val="Footer"/>
          <w:jc w:val="center"/>
          <w:rPr>
            <w:rFonts w:ascii="Footlight MT Light" w:hAnsi="Footlight MT Light"/>
          </w:rPr>
        </w:pPr>
        <w:r w:rsidRPr="00617C82">
          <w:rPr>
            <w:rFonts w:ascii="Footlight MT Light" w:hAnsi="Footlight MT Light"/>
          </w:rPr>
          <w:t xml:space="preserve">AGORA | </w:t>
        </w:r>
        <w:r w:rsidRPr="00617C82">
          <w:rPr>
            <w:rFonts w:ascii="Footlight MT Light" w:hAnsi="Footlight MT Light"/>
          </w:rPr>
          <w:fldChar w:fldCharType="begin"/>
        </w:r>
        <w:r w:rsidRPr="00617C82">
          <w:rPr>
            <w:rFonts w:ascii="Footlight MT Light" w:hAnsi="Footlight MT Light"/>
          </w:rPr>
          <w:instrText xml:space="preserve"> PAGE   \* MERGEFORMAT </w:instrText>
        </w:r>
        <w:r w:rsidRPr="00617C82">
          <w:rPr>
            <w:rFonts w:ascii="Footlight MT Light" w:hAnsi="Footlight MT Light"/>
          </w:rPr>
          <w:fldChar w:fldCharType="separate"/>
        </w:r>
        <w:r w:rsidR="00AB2F91">
          <w:rPr>
            <w:rFonts w:ascii="Footlight MT Light" w:hAnsi="Footlight MT Light"/>
            <w:noProof/>
          </w:rPr>
          <w:t>4</w:t>
        </w:r>
        <w:r w:rsidRPr="00617C82">
          <w:rPr>
            <w:rFonts w:ascii="Footlight MT Light" w:hAnsi="Footlight MT Light"/>
            <w:noProof/>
          </w:rPr>
          <w:fldChar w:fldCharType="end"/>
        </w:r>
        <w:r w:rsidRPr="00617C82">
          <w:rPr>
            <w:rFonts w:ascii="Footlight MT Light" w:hAnsi="Footlight MT Light"/>
          </w:rPr>
          <w:t xml:space="preserve"> </w:t>
        </w:r>
      </w:p>
    </w:sdtContent>
  </w:sdt>
  <w:p w:rsidR="00617C82" w:rsidRDefault="00617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65" w:rsidRDefault="009E7565" w:rsidP="004518EF">
      <w:pPr>
        <w:spacing w:after="0" w:line="240" w:lineRule="auto"/>
      </w:pPr>
      <w:r>
        <w:separator/>
      </w:r>
    </w:p>
  </w:footnote>
  <w:footnote w:type="continuationSeparator" w:id="0">
    <w:p w:rsidR="009E7565" w:rsidRDefault="009E7565" w:rsidP="004518EF">
      <w:pPr>
        <w:spacing w:after="0" w:line="240" w:lineRule="auto"/>
      </w:pPr>
      <w:r>
        <w:continuationSeparator/>
      </w:r>
    </w:p>
  </w:footnote>
  <w:footnote w:id="1">
    <w:p w:rsidR="004518EF" w:rsidRPr="00F878E4" w:rsidRDefault="004518EF" w:rsidP="00EE2047">
      <w:pPr>
        <w:pStyle w:val="FootnoteText"/>
        <w:ind w:firstLine="1080"/>
        <w:rPr>
          <w:rFonts w:ascii="Palatino Linotype" w:hAnsi="Palatino Linotype"/>
          <w:szCs w:val="24"/>
        </w:rPr>
      </w:pPr>
      <w:r w:rsidRPr="00F878E4">
        <w:rPr>
          <w:rStyle w:val="FootnoteReference"/>
          <w:rFonts w:ascii="Palatino Linotype" w:hAnsi="Palatino Linotype"/>
          <w:szCs w:val="24"/>
        </w:rPr>
        <w:footnoteRef/>
      </w:r>
      <w:r w:rsidRPr="00F878E4">
        <w:rPr>
          <w:rFonts w:ascii="Palatino Linotype" w:eastAsia="Times New Roman" w:hAnsi="Palatino Linotype" w:cs="Times New Roman"/>
          <w:szCs w:val="24"/>
          <w:lang w:eastAsia="id-ID"/>
        </w:rPr>
        <w:t xml:space="preserve">John Calvin, </w:t>
      </w:r>
      <w:r w:rsidRPr="00F878E4">
        <w:rPr>
          <w:rFonts w:ascii="Palatino Linotype" w:eastAsia="Times New Roman" w:hAnsi="Palatino Linotype" w:cs="Times New Roman"/>
          <w:i/>
          <w:iCs/>
          <w:szCs w:val="24"/>
          <w:lang w:eastAsia="id-ID"/>
        </w:rPr>
        <w:t>Institusi Agama Kristen</w:t>
      </w:r>
      <w:r w:rsidRPr="00F878E4">
        <w:rPr>
          <w:rFonts w:ascii="Palatino Linotype" w:eastAsia="Times New Roman" w:hAnsi="Palatino Linotype" w:cs="Times New Roman"/>
          <w:szCs w:val="24"/>
          <w:lang w:eastAsia="id-ID"/>
        </w:rPr>
        <w:t xml:space="preserve">, </w:t>
      </w:r>
      <w:r w:rsidR="009E2E1E" w:rsidRPr="00F878E4">
        <w:rPr>
          <w:rFonts w:ascii="Palatino Linotype" w:eastAsia="Times New Roman" w:hAnsi="Palatino Linotype" w:cs="Times New Roman"/>
          <w:szCs w:val="24"/>
          <w:lang w:eastAsia="id-ID"/>
        </w:rPr>
        <w:t>Diterjemahkan oleh</w:t>
      </w:r>
      <w:r w:rsidRPr="00F878E4">
        <w:rPr>
          <w:rFonts w:ascii="Palatino Linotype" w:eastAsia="Times New Roman" w:hAnsi="Palatino Linotype" w:cs="Times New Roman"/>
          <w:szCs w:val="24"/>
          <w:lang w:eastAsia="id-ID"/>
        </w:rPr>
        <w:t xml:space="preserve"> Alkot H. Luturmas dan Jusuf B. Sancoko (Jakarta: BPK Gunung Mulia, 2002), 16.</w:t>
      </w:r>
      <w:r w:rsidRPr="00F878E4">
        <w:rPr>
          <w:rFonts w:ascii="Palatino Linotype" w:hAnsi="Palatino Linotype"/>
          <w:szCs w:val="24"/>
        </w:rPr>
        <w:t xml:space="preserve"> </w:t>
      </w:r>
    </w:p>
  </w:footnote>
  <w:footnote w:id="2">
    <w:p w:rsidR="004518EF" w:rsidRPr="00F878E4" w:rsidRDefault="004518EF" w:rsidP="00EE2047">
      <w:pPr>
        <w:spacing w:after="0" w:line="240" w:lineRule="auto"/>
        <w:ind w:firstLine="1080"/>
        <w:jc w:val="both"/>
        <w:rPr>
          <w:rFonts w:ascii="Palatino Linotype" w:eastAsia="Times New Roman" w:hAnsi="Palatino Linotype" w:cs="Times New Roman"/>
          <w:sz w:val="20"/>
          <w:szCs w:val="24"/>
          <w:lang w:eastAsia="id-ID"/>
        </w:rPr>
      </w:pPr>
      <w:r w:rsidRPr="00F878E4">
        <w:rPr>
          <w:rStyle w:val="FootnoteReference"/>
          <w:rFonts w:ascii="Palatino Linotype" w:hAnsi="Palatino Linotype"/>
          <w:sz w:val="20"/>
          <w:szCs w:val="24"/>
        </w:rPr>
        <w:footnoteRef/>
      </w:r>
      <w:r w:rsidRPr="00F878E4">
        <w:rPr>
          <w:rFonts w:ascii="Palatino Linotype" w:eastAsia="Times New Roman" w:hAnsi="Palatino Linotype" w:cs="Times New Roman"/>
          <w:sz w:val="20"/>
          <w:szCs w:val="24"/>
          <w:lang w:eastAsia="id-ID"/>
        </w:rPr>
        <w:t xml:space="preserve">John Dear, </w:t>
      </w:r>
      <w:r w:rsidRPr="00F878E4">
        <w:rPr>
          <w:rFonts w:ascii="Palatino Linotype" w:eastAsia="Times New Roman" w:hAnsi="Palatino Linotype" w:cs="Times New Roman"/>
          <w:i/>
          <w:iCs/>
          <w:sz w:val="20"/>
          <w:szCs w:val="24"/>
          <w:lang w:eastAsia="id-ID"/>
        </w:rPr>
        <w:t>Keadilan dan Perdamaian: Panduan untuk Aktivis dan Pemimpin Gereja</w:t>
      </w:r>
      <w:r w:rsidRPr="00F878E4">
        <w:rPr>
          <w:rFonts w:ascii="Palatino Linotype" w:eastAsia="Times New Roman" w:hAnsi="Palatino Linotype" w:cs="Times New Roman"/>
          <w:sz w:val="20"/>
          <w:szCs w:val="24"/>
          <w:lang w:eastAsia="id-ID"/>
        </w:rPr>
        <w:t xml:space="preserve"> (New York: Orbis Books, 2020), 46-49.</w:t>
      </w:r>
    </w:p>
  </w:footnote>
  <w:footnote w:id="3">
    <w:p w:rsidR="004518EF" w:rsidRPr="00F878E4" w:rsidRDefault="004518EF" w:rsidP="00EE2047">
      <w:pPr>
        <w:spacing w:after="0" w:line="240" w:lineRule="auto"/>
        <w:ind w:firstLine="1080"/>
        <w:jc w:val="both"/>
        <w:rPr>
          <w:rFonts w:ascii="Palatino Linotype" w:eastAsia="Times New Roman" w:hAnsi="Palatino Linotype" w:cs="Times New Roman"/>
          <w:sz w:val="20"/>
          <w:szCs w:val="24"/>
          <w:lang w:eastAsia="id-ID"/>
        </w:rPr>
      </w:pPr>
      <w:r w:rsidRPr="00F878E4">
        <w:rPr>
          <w:rStyle w:val="FootnoteReference"/>
          <w:rFonts w:ascii="Palatino Linotype" w:hAnsi="Palatino Linotype"/>
          <w:sz w:val="20"/>
          <w:szCs w:val="24"/>
        </w:rPr>
        <w:footnoteRef/>
      </w:r>
      <w:r w:rsidRPr="00F878E4">
        <w:rPr>
          <w:rFonts w:ascii="Palatino Linotype" w:eastAsia="Times New Roman" w:hAnsi="Palatino Linotype" w:cs="Times New Roman"/>
          <w:sz w:val="20"/>
          <w:szCs w:val="24"/>
          <w:lang w:eastAsia="id-ID"/>
        </w:rPr>
        <w:t xml:space="preserve">Kirdi Dipoyudo, </w:t>
      </w:r>
      <w:r w:rsidRPr="00F878E4">
        <w:rPr>
          <w:rFonts w:ascii="Palatino Linotype" w:eastAsia="Times New Roman" w:hAnsi="Palatino Linotype" w:cs="Times New Roman"/>
          <w:i/>
          <w:iCs/>
          <w:sz w:val="20"/>
          <w:szCs w:val="24"/>
          <w:lang w:eastAsia="id-ID"/>
        </w:rPr>
        <w:t>Keadilan Sosial</w:t>
      </w:r>
      <w:r w:rsidRPr="00F878E4">
        <w:rPr>
          <w:rFonts w:ascii="Palatino Linotype" w:eastAsia="Times New Roman" w:hAnsi="Palatino Linotype" w:cs="Times New Roman"/>
          <w:sz w:val="20"/>
          <w:szCs w:val="24"/>
          <w:lang w:eastAsia="id-ID"/>
        </w:rPr>
        <w:t xml:space="preserve"> (Jakarta: Rajawali, 1985), 10-12.</w:t>
      </w:r>
    </w:p>
    <w:p w:rsidR="004518EF" w:rsidRPr="00F878E4" w:rsidRDefault="004518EF">
      <w:pPr>
        <w:pStyle w:val="FootnoteText"/>
        <w:rPr>
          <w:rFonts w:ascii="Palatino Linotype" w:hAnsi="Palatino Linotype"/>
          <w:szCs w:val="24"/>
        </w:rPr>
      </w:pPr>
    </w:p>
  </w:footnote>
  <w:footnote w:id="4">
    <w:p w:rsidR="004518EF" w:rsidRPr="00F878E4" w:rsidRDefault="004518EF" w:rsidP="0078018F">
      <w:pPr>
        <w:spacing w:after="0" w:line="240" w:lineRule="auto"/>
        <w:ind w:firstLine="1080"/>
        <w:jc w:val="both"/>
        <w:rPr>
          <w:rFonts w:ascii="Palatino Linotype" w:eastAsia="Times New Roman" w:hAnsi="Palatino Linotype" w:cs="Times New Roman"/>
          <w:sz w:val="20"/>
          <w:szCs w:val="20"/>
          <w:lang w:eastAsia="id-ID"/>
        </w:rPr>
      </w:pPr>
      <w:r w:rsidRPr="00F878E4">
        <w:rPr>
          <w:rStyle w:val="FootnoteReference"/>
          <w:sz w:val="20"/>
          <w:szCs w:val="20"/>
        </w:rPr>
        <w:footnoteRef/>
      </w:r>
      <w:r w:rsidRPr="00F878E4">
        <w:rPr>
          <w:rFonts w:ascii="Palatino Linotype" w:eastAsia="Times New Roman" w:hAnsi="Palatino Linotype" w:cs="Times New Roman"/>
          <w:sz w:val="20"/>
          <w:szCs w:val="20"/>
          <w:lang w:eastAsia="id-ID"/>
        </w:rPr>
        <w:t xml:space="preserve">Badan Pusat Statistik, </w:t>
      </w:r>
      <w:r w:rsidRPr="00F878E4">
        <w:rPr>
          <w:rFonts w:ascii="Palatino Linotype" w:eastAsia="Times New Roman" w:hAnsi="Palatino Linotype" w:cs="Times New Roman"/>
          <w:i/>
          <w:iCs/>
          <w:sz w:val="20"/>
          <w:szCs w:val="20"/>
          <w:lang w:eastAsia="id-ID"/>
        </w:rPr>
        <w:t>Gini Ratio dan Ketimpangan Pendapatan di Indonesia</w:t>
      </w:r>
      <w:r w:rsidRPr="00F878E4">
        <w:rPr>
          <w:rFonts w:ascii="Palatino Linotype" w:eastAsia="Times New Roman" w:hAnsi="Palatino Linotype" w:cs="Times New Roman"/>
          <w:sz w:val="20"/>
          <w:szCs w:val="20"/>
          <w:lang w:eastAsia="id-ID"/>
        </w:rPr>
        <w:t xml:space="preserve"> (Jakarta: BPS, 2024), 45-47.</w:t>
      </w:r>
    </w:p>
  </w:footnote>
  <w:footnote w:id="5">
    <w:p w:rsidR="004518EF" w:rsidRPr="00F878E4" w:rsidRDefault="004518EF" w:rsidP="0078018F">
      <w:pPr>
        <w:pStyle w:val="FootnoteText"/>
        <w:ind w:firstLine="1080"/>
        <w:jc w:val="both"/>
      </w:pPr>
      <w:r w:rsidRPr="00F878E4">
        <w:rPr>
          <w:rStyle w:val="FootnoteReference"/>
        </w:rPr>
        <w:footnoteRef/>
      </w:r>
      <w:r w:rsidRPr="00F878E4">
        <w:rPr>
          <w:rFonts w:ascii="Palatino Linotype" w:eastAsia="Times New Roman" w:hAnsi="Palatino Linotype" w:cs="Times New Roman"/>
          <w:lang w:eastAsia="id-ID"/>
        </w:rPr>
        <w:t xml:space="preserve">Timothy Keller, </w:t>
      </w:r>
      <w:r w:rsidRPr="00F878E4">
        <w:rPr>
          <w:rFonts w:ascii="Palatino Linotype" w:eastAsia="Times New Roman" w:hAnsi="Palatino Linotype" w:cs="Times New Roman"/>
          <w:i/>
          <w:iCs/>
          <w:lang w:eastAsia="id-ID"/>
        </w:rPr>
        <w:t>Beriman di Tengah Arus Modernisasi</w:t>
      </w:r>
      <w:r w:rsidRPr="00F878E4">
        <w:rPr>
          <w:rFonts w:ascii="Palatino Linotype" w:eastAsia="Times New Roman" w:hAnsi="Palatino Linotype" w:cs="Times New Roman"/>
          <w:lang w:eastAsia="id-ID"/>
        </w:rPr>
        <w:t xml:space="preserve"> (Jakarta: Literatur Perkantas, 2015), 89-92.</w:t>
      </w:r>
    </w:p>
  </w:footnote>
  <w:footnote w:id="6">
    <w:p w:rsidR="004518EF" w:rsidRPr="00F878E4" w:rsidRDefault="004518EF" w:rsidP="0078018F">
      <w:pPr>
        <w:spacing w:after="0" w:line="240" w:lineRule="auto"/>
        <w:ind w:firstLine="1080"/>
        <w:jc w:val="both"/>
        <w:rPr>
          <w:rFonts w:ascii="Palatino Linotype" w:eastAsia="Times New Roman" w:hAnsi="Palatino Linotype" w:cs="Times New Roman"/>
          <w:sz w:val="20"/>
          <w:szCs w:val="20"/>
          <w:lang w:eastAsia="id-ID"/>
        </w:rPr>
      </w:pPr>
      <w:r w:rsidRPr="00F878E4">
        <w:rPr>
          <w:rStyle w:val="FootnoteReference"/>
          <w:sz w:val="20"/>
          <w:szCs w:val="20"/>
        </w:rPr>
        <w:footnoteRef/>
      </w:r>
      <w:r w:rsidRPr="00F878E4">
        <w:rPr>
          <w:rFonts w:ascii="Palatino Linotype" w:eastAsia="Times New Roman" w:hAnsi="Palatino Linotype" w:cs="Times New Roman"/>
          <w:sz w:val="20"/>
          <w:szCs w:val="20"/>
          <w:lang w:eastAsia="id-ID"/>
        </w:rPr>
        <w:t xml:space="preserve">Ronald J. Sider, </w:t>
      </w:r>
      <w:r w:rsidRPr="00F878E4">
        <w:rPr>
          <w:rFonts w:ascii="Palatino Linotype" w:eastAsia="Times New Roman" w:hAnsi="Palatino Linotype" w:cs="Times New Roman"/>
          <w:i/>
          <w:iCs/>
          <w:sz w:val="20"/>
          <w:szCs w:val="20"/>
          <w:lang w:eastAsia="id-ID"/>
        </w:rPr>
        <w:t>Kristen Kaya di Zaman Kelaparan: Dari Kemewahan Menuju Kepedulian</w:t>
      </w:r>
      <w:r w:rsidRPr="00F878E4">
        <w:rPr>
          <w:rFonts w:ascii="Palatino Linotype" w:eastAsia="Times New Roman" w:hAnsi="Palatino Linotype" w:cs="Times New Roman"/>
          <w:sz w:val="20"/>
          <w:szCs w:val="20"/>
          <w:lang w:eastAsia="id-ID"/>
        </w:rPr>
        <w:t xml:space="preserve">, </w:t>
      </w:r>
      <w:r w:rsidR="009E2E1E" w:rsidRPr="00F878E4">
        <w:rPr>
          <w:rFonts w:ascii="Palatino Linotype" w:eastAsia="Times New Roman" w:hAnsi="Palatino Linotype" w:cs="Times New Roman"/>
          <w:sz w:val="20"/>
          <w:szCs w:val="20"/>
          <w:lang w:eastAsia="id-ID"/>
        </w:rPr>
        <w:t>Diterjemahkan oleh</w:t>
      </w:r>
      <w:r w:rsidR="00536424" w:rsidRPr="00F878E4">
        <w:rPr>
          <w:rFonts w:ascii="Palatino Linotype" w:eastAsia="Times New Roman" w:hAnsi="Palatino Linotype" w:cs="Times New Roman"/>
          <w:sz w:val="20"/>
          <w:szCs w:val="20"/>
          <w:lang w:eastAsia="id-ID"/>
        </w:rPr>
        <w:t xml:space="preserve"> </w:t>
      </w:r>
      <w:r w:rsidRPr="00F878E4">
        <w:rPr>
          <w:rFonts w:ascii="Palatino Linotype" w:eastAsia="Times New Roman" w:hAnsi="Palatino Linotype" w:cs="Times New Roman"/>
          <w:sz w:val="20"/>
          <w:szCs w:val="20"/>
          <w:lang w:eastAsia="id-ID"/>
        </w:rPr>
        <w:t>Agung Prihantoro (Jakarta: Yayasan Komunikasi Bina Kasih/YPK, 2007), 112–115.</w:t>
      </w:r>
    </w:p>
  </w:footnote>
  <w:footnote w:id="7">
    <w:p w:rsidR="004518EF" w:rsidRPr="00F878E4" w:rsidRDefault="004518EF" w:rsidP="0078018F">
      <w:pPr>
        <w:spacing w:after="0" w:line="240" w:lineRule="auto"/>
        <w:ind w:firstLine="1080"/>
        <w:jc w:val="both"/>
        <w:rPr>
          <w:rFonts w:ascii="Palatino Linotype" w:eastAsia="Times New Roman" w:hAnsi="Palatino Linotype" w:cs="Times New Roman"/>
          <w:sz w:val="20"/>
          <w:szCs w:val="20"/>
          <w:lang w:eastAsia="id-ID"/>
        </w:rPr>
      </w:pPr>
      <w:r w:rsidRPr="00F878E4">
        <w:rPr>
          <w:rStyle w:val="FootnoteReference"/>
          <w:sz w:val="20"/>
          <w:szCs w:val="20"/>
        </w:rPr>
        <w:footnoteRef/>
      </w:r>
      <w:r w:rsidRPr="00F878E4">
        <w:rPr>
          <w:rFonts w:ascii="Palatino Linotype" w:eastAsia="Times New Roman" w:hAnsi="Palatino Linotype" w:cs="Times New Roman"/>
          <w:sz w:val="20"/>
          <w:szCs w:val="20"/>
          <w:lang w:eastAsia="id-ID"/>
        </w:rPr>
        <w:t xml:space="preserve">Miroslav Volf, </w:t>
      </w:r>
      <w:r w:rsidRPr="00F878E4">
        <w:rPr>
          <w:rFonts w:ascii="Palatino Linotype" w:eastAsia="Times New Roman" w:hAnsi="Palatino Linotype" w:cs="Times New Roman"/>
          <w:i/>
          <w:iCs/>
          <w:sz w:val="20"/>
          <w:szCs w:val="20"/>
          <w:lang w:eastAsia="id-ID"/>
        </w:rPr>
        <w:t>Pengucilan dan Pelukan: Suatu Telaah Teologis tentang Identitas, Perbedaan, dan Rekonsiliasi</w:t>
      </w:r>
      <w:r w:rsidRPr="00F878E4">
        <w:rPr>
          <w:rFonts w:ascii="Palatino Linotype" w:eastAsia="Times New Roman" w:hAnsi="Palatino Linotype" w:cs="Times New Roman"/>
          <w:sz w:val="20"/>
          <w:szCs w:val="20"/>
          <w:lang w:eastAsia="id-ID"/>
        </w:rPr>
        <w:t xml:space="preserve">, </w:t>
      </w:r>
      <w:r w:rsidR="009E2E1E" w:rsidRPr="00F878E4">
        <w:rPr>
          <w:rFonts w:ascii="Palatino Linotype" w:eastAsia="Times New Roman" w:hAnsi="Palatino Linotype" w:cs="Times New Roman"/>
          <w:sz w:val="20"/>
          <w:szCs w:val="20"/>
          <w:lang w:eastAsia="id-ID"/>
        </w:rPr>
        <w:t>Diterjemahkan oleh</w:t>
      </w:r>
      <w:r w:rsidRPr="00F878E4">
        <w:rPr>
          <w:rFonts w:ascii="Palatino Linotype" w:eastAsia="Times New Roman" w:hAnsi="Palatino Linotype" w:cs="Times New Roman"/>
          <w:sz w:val="20"/>
          <w:szCs w:val="20"/>
          <w:lang w:eastAsia="id-ID"/>
        </w:rPr>
        <w:t xml:space="preserve"> Hesky Datau (Jakarta: BPK Gunung Mulia, 2003), 210.</w:t>
      </w:r>
    </w:p>
  </w:footnote>
  <w:footnote w:id="8">
    <w:p w:rsidR="000C116A" w:rsidRPr="00F878E4" w:rsidRDefault="000C116A" w:rsidP="009C4051">
      <w:pPr>
        <w:pStyle w:val="FootnoteText"/>
        <w:ind w:firstLine="1080"/>
        <w:jc w:val="both"/>
      </w:pPr>
      <w:r w:rsidRPr="00F878E4">
        <w:rPr>
          <w:rStyle w:val="FootnoteReference"/>
        </w:rPr>
        <w:footnoteRef/>
      </w:r>
      <w:r w:rsidRPr="00F878E4">
        <w:rPr>
          <w:rFonts w:ascii="Palatino Linotype" w:hAnsi="Palatino Linotype"/>
        </w:rPr>
        <w:t xml:space="preserve">John W. Creswell, </w:t>
      </w:r>
      <w:r w:rsidRPr="00F878E4">
        <w:rPr>
          <w:rFonts w:ascii="Palatino Linotype" w:hAnsi="Palatino Linotype"/>
          <w:i/>
          <w:iCs/>
        </w:rPr>
        <w:t>Research Design: Pendekatan Kualitatif, Kuantitatif, dan Mixed</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Achmad Fawaid dan Rinaldi (Yogyakarta: Pustaka Pelajar, 2017), 5.</w:t>
      </w:r>
    </w:p>
  </w:footnote>
  <w:footnote w:id="9">
    <w:p w:rsidR="000C116A" w:rsidRPr="00F878E4" w:rsidRDefault="000C116A" w:rsidP="0078018F">
      <w:pPr>
        <w:pStyle w:val="FootnoteText"/>
        <w:ind w:firstLine="1080"/>
        <w:jc w:val="both"/>
      </w:pPr>
      <w:r w:rsidRPr="00F878E4">
        <w:rPr>
          <w:rStyle w:val="FootnoteReference"/>
        </w:rPr>
        <w:footnoteRef/>
      </w:r>
      <w:r w:rsidRPr="00F878E4">
        <w:rPr>
          <w:rFonts w:ascii="Palatino Linotype" w:hAnsi="Palatino Linotype"/>
        </w:rPr>
        <w:t xml:space="preserve">Michael Q. Patton, </w:t>
      </w:r>
      <w:r w:rsidRPr="00F878E4">
        <w:rPr>
          <w:rFonts w:ascii="Palatino Linotype" w:hAnsi="Palatino Linotype"/>
          <w:i/>
          <w:iCs/>
        </w:rPr>
        <w:t>Metode Evaluasi dan Penelitian Kualitatif</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Nurkholis Madjid (Yogyakarta: Pustaka Pelajar, 2017), 150.</w:t>
      </w:r>
      <w:r w:rsidRPr="00F878E4">
        <w:t xml:space="preserve"> </w:t>
      </w:r>
    </w:p>
  </w:footnote>
  <w:footnote w:id="10">
    <w:p w:rsidR="000C116A" w:rsidRPr="00F878E4" w:rsidRDefault="000C116A" w:rsidP="0078018F">
      <w:pPr>
        <w:pStyle w:val="FootnoteText"/>
        <w:ind w:firstLine="1080"/>
        <w:jc w:val="both"/>
      </w:pPr>
      <w:r w:rsidRPr="00F878E4">
        <w:rPr>
          <w:rStyle w:val="FootnoteReference"/>
        </w:rPr>
        <w:footnoteRef/>
      </w:r>
      <w:r w:rsidRPr="00F878E4">
        <w:rPr>
          <w:rFonts w:ascii="Palatino Linotype" w:hAnsi="Palatino Linotype"/>
        </w:rPr>
        <w:t xml:space="preserve">Alan Bryman, </w:t>
      </w:r>
      <w:r w:rsidRPr="00F878E4">
        <w:rPr>
          <w:rFonts w:ascii="Palatino Linotype" w:hAnsi="Palatino Linotype"/>
          <w:i/>
          <w:iCs/>
        </w:rPr>
        <w:t>Social Research Methods: Metode Penelitian Sosial</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Achmad Fawaid dan R. Haryanto (Jakarta: Kencana, 2012), 210.</w:t>
      </w:r>
    </w:p>
  </w:footnote>
  <w:footnote w:id="11">
    <w:p w:rsidR="000C116A" w:rsidRPr="00F878E4" w:rsidRDefault="000C116A" w:rsidP="0078018F">
      <w:pPr>
        <w:pStyle w:val="FootnoteText"/>
        <w:ind w:firstLine="1080"/>
        <w:jc w:val="both"/>
      </w:pPr>
      <w:r w:rsidRPr="00F878E4">
        <w:rPr>
          <w:rStyle w:val="FootnoteReference"/>
        </w:rPr>
        <w:footnoteRef/>
      </w:r>
      <w:r w:rsidRPr="00F878E4">
        <w:rPr>
          <w:rFonts w:ascii="Palatino Linotype" w:hAnsi="Palatino Linotype"/>
        </w:rPr>
        <w:t xml:space="preserve">Norman K. Denzin dan Yvonna S. Lincoln, </w:t>
      </w:r>
      <w:r w:rsidRPr="00F878E4">
        <w:rPr>
          <w:rFonts w:ascii="Palatino Linotype" w:hAnsi="Palatino Linotype"/>
          <w:i/>
          <w:iCs/>
        </w:rPr>
        <w:t>Handbook Riset Kualitatif</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Dariyo A. dan A. K. Saputra (Yogyakarta: Pustaka Pelajar, 2009), 10.</w:t>
      </w:r>
      <w:r w:rsidRPr="00F878E4">
        <w:t xml:space="preserve"> </w:t>
      </w:r>
    </w:p>
  </w:footnote>
  <w:footnote w:id="12">
    <w:p w:rsidR="000852E4" w:rsidRPr="00F878E4" w:rsidRDefault="000852E4" w:rsidP="0078018F">
      <w:pPr>
        <w:pStyle w:val="FootnoteText"/>
        <w:ind w:firstLine="1080"/>
        <w:jc w:val="both"/>
        <w:rPr>
          <w:rFonts w:ascii="Palatino Linotype" w:hAnsi="Palatino Linotype"/>
        </w:rPr>
      </w:pPr>
      <w:r w:rsidRPr="00F878E4">
        <w:rPr>
          <w:rStyle w:val="FootnoteReference"/>
          <w:rFonts w:ascii="Palatino Linotype" w:hAnsi="Palatino Linotype"/>
        </w:rPr>
        <w:footnoteRef/>
      </w:r>
      <w:r w:rsidR="009C4051" w:rsidRPr="00F878E4">
        <w:rPr>
          <w:rFonts w:ascii="Palatino Linotype" w:eastAsia="Times New Roman" w:hAnsi="Palatino Linotype" w:cs="Times New Roman"/>
          <w:lang w:eastAsia="id-ID"/>
        </w:rPr>
        <w:t xml:space="preserve">Samuel Tarrien, </w:t>
      </w:r>
      <w:r w:rsidR="009C4051" w:rsidRPr="00F878E4">
        <w:rPr>
          <w:rFonts w:ascii="Palatino Linotype" w:eastAsia="Times New Roman" w:hAnsi="Palatino Linotype" w:cs="Times New Roman"/>
          <w:i/>
          <w:iCs/>
          <w:lang w:eastAsia="id-ID"/>
        </w:rPr>
        <w:t>Perjanjian Lama dan Penghayatan</w:t>
      </w:r>
      <w:r w:rsidR="009C4051" w:rsidRPr="00F878E4">
        <w:rPr>
          <w:rFonts w:ascii="Palatino Linotype" w:eastAsia="Times New Roman" w:hAnsi="Palatino Linotype" w:cs="Times New Roman"/>
          <w:lang w:eastAsia="id-ID"/>
        </w:rPr>
        <w:t xml:space="preserve"> (Jakarta: BPK Gunung Mulia, 2005), 17.</w:t>
      </w:r>
    </w:p>
  </w:footnote>
  <w:footnote w:id="13">
    <w:p w:rsidR="000852E4" w:rsidRPr="00F878E4" w:rsidRDefault="000852E4" w:rsidP="0078018F">
      <w:pPr>
        <w:pStyle w:val="FootnoteText"/>
        <w:ind w:firstLine="1080"/>
        <w:jc w:val="both"/>
        <w:rPr>
          <w:rFonts w:ascii="Palatino Linotype" w:hAnsi="Palatino Linotype"/>
        </w:rPr>
      </w:pPr>
      <w:r w:rsidRPr="00F878E4">
        <w:rPr>
          <w:rStyle w:val="FootnoteReference"/>
          <w:rFonts w:ascii="Palatino Linotype" w:hAnsi="Palatino Linotype"/>
        </w:rPr>
        <w:footnoteRef/>
      </w:r>
      <w:r w:rsidR="009C4051" w:rsidRPr="00F878E4">
        <w:rPr>
          <w:rFonts w:ascii="Palatino Linotype" w:eastAsia="Times New Roman" w:hAnsi="Palatino Linotype" w:cs="Times New Roman"/>
          <w:lang w:eastAsia="id-ID"/>
        </w:rPr>
        <w:t xml:space="preserve">R.F. Bhanu Viktorahadi Pr., </w:t>
      </w:r>
      <w:r w:rsidR="009C4051" w:rsidRPr="00F878E4">
        <w:rPr>
          <w:rFonts w:ascii="Palatino Linotype" w:eastAsia="Times New Roman" w:hAnsi="Palatino Linotype" w:cs="Times New Roman"/>
          <w:i/>
          <w:iCs/>
          <w:lang w:eastAsia="id-ID"/>
        </w:rPr>
        <w:t>Buku Ajar Pengantar Studi Kitab Suci</w:t>
      </w:r>
      <w:r w:rsidR="009C4051" w:rsidRPr="00F878E4">
        <w:rPr>
          <w:rFonts w:ascii="Palatino Linotype" w:eastAsia="Times New Roman" w:hAnsi="Palatino Linotype" w:cs="Times New Roman"/>
          <w:lang w:eastAsia="id-ID"/>
        </w:rPr>
        <w:t xml:space="preserve"> (Bandung: UIN Sunan Gunung Djati, 2022), 145.</w:t>
      </w:r>
      <w:r w:rsidRPr="00F878E4">
        <w:rPr>
          <w:rFonts w:ascii="Palatino Linotype" w:hAnsi="Palatino Linotype"/>
        </w:rPr>
        <w:t xml:space="preserve"> </w:t>
      </w:r>
    </w:p>
  </w:footnote>
  <w:footnote w:id="14">
    <w:p w:rsidR="000852E4" w:rsidRPr="00F878E4" w:rsidRDefault="000852E4" w:rsidP="0078018F">
      <w:pPr>
        <w:pStyle w:val="FootnoteText"/>
        <w:ind w:firstLine="1080"/>
        <w:jc w:val="both"/>
        <w:rPr>
          <w:rFonts w:ascii="Palatino Linotype" w:hAnsi="Palatino Linotype"/>
        </w:rPr>
      </w:pPr>
      <w:r w:rsidRPr="00F878E4">
        <w:rPr>
          <w:rStyle w:val="FootnoteReference"/>
          <w:rFonts w:ascii="Palatino Linotype" w:hAnsi="Palatino Linotype"/>
        </w:rPr>
        <w:footnoteRef/>
      </w:r>
      <w:r w:rsidR="009C4051" w:rsidRPr="00F878E4">
        <w:rPr>
          <w:rFonts w:ascii="Palatino Linotype" w:eastAsia="Times New Roman" w:hAnsi="Palatino Linotype" w:cs="Times New Roman"/>
          <w:lang w:eastAsia="id-ID"/>
        </w:rPr>
        <w:t xml:space="preserve">Yohanes Lumban Toruan, </w:t>
      </w:r>
      <w:r w:rsidR="009C4051" w:rsidRPr="00F878E4">
        <w:rPr>
          <w:rFonts w:ascii="Palatino Linotype" w:eastAsia="Times New Roman" w:hAnsi="Palatino Linotype" w:cs="Times New Roman"/>
          <w:i/>
          <w:iCs/>
          <w:lang w:eastAsia="id-ID"/>
        </w:rPr>
        <w:t>Dasar-Dasar Bahasa Ibrani</w:t>
      </w:r>
      <w:r w:rsidR="009C4051" w:rsidRPr="00F878E4">
        <w:rPr>
          <w:rFonts w:ascii="Palatino Linotype" w:eastAsia="Times New Roman" w:hAnsi="Palatino Linotype" w:cs="Times New Roman"/>
          <w:lang w:eastAsia="id-ID"/>
        </w:rPr>
        <w:t xml:space="preserve"> (Jakarta: BPK Gunung Mulia, 2005), 102–103.</w:t>
      </w:r>
    </w:p>
  </w:footnote>
  <w:footnote w:id="15">
    <w:p w:rsidR="000852E4" w:rsidRPr="00F878E4" w:rsidRDefault="000852E4" w:rsidP="009C4051">
      <w:pPr>
        <w:pStyle w:val="FootnoteText"/>
        <w:ind w:firstLine="1080"/>
        <w:rPr>
          <w:rFonts w:ascii="Palatino Linotype" w:hAnsi="Palatino Linotype"/>
          <w:szCs w:val="24"/>
        </w:rPr>
      </w:pPr>
      <w:r w:rsidRPr="00F878E4">
        <w:rPr>
          <w:rStyle w:val="FootnoteReference"/>
          <w:rFonts w:ascii="Palatino Linotype" w:hAnsi="Palatino Linotype"/>
          <w:szCs w:val="24"/>
        </w:rPr>
        <w:footnoteRef/>
      </w:r>
      <w:r w:rsidR="009C4051" w:rsidRPr="00F878E4">
        <w:rPr>
          <w:rFonts w:ascii="Palatino Linotype" w:eastAsia="Times New Roman" w:hAnsi="Palatino Linotype" w:cs="Times New Roman"/>
          <w:szCs w:val="24"/>
          <w:lang w:eastAsia="id-ID"/>
        </w:rPr>
        <w:t xml:space="preserve">Walter Brueggemann, </w:t>
      </w:r>
      <w:r w:rsidR="009C4051" w:rsidRPr="00F878E4">
        <w:rPr>
          <w:rFonts w:ascii="Palatino Linotype" w:eastAsia="Times New Roman" w:hAnsi="Palatino Linotype" w:cs="Times New Roman"/>
          <w:i/>
          <w:iCs/>
          <w:szCs w:val="24"/>
          <w:lang w:eastAsia="id-ID"/>
        </w:rPr>
        <w:t>Teologi Perjanjian Lama: Kesaksian dan Tangkisan, Pembelaan</w:t>
      </w:r>
      <w:r w:rsidR="009C4051" w:rsidRPr="00F878E4">
        <w:rPr>
          <w:rFonts w:ascii="Palatino Linotype" w:eastAsia="Times New Roman" w:hAnsi="Palatino Linotype" w:cs="Times New Roman"/>
          <w:szCs w:val="24"/>
          <w:lang w:eastAsia="id-ID"/>
        </w:rPr>
        <w:t xml:space="preserve"> (Maumere: Ledalero, 2009), 198.</w:t>
      </w:r>
    </w:p>
  </w:footnote>
  <w:footnote w:id="16">
    <w:p w:rsidR="000852E4" w:rsidRPr="00F878E4" w:rsidRDefault="000852E4" w:rsidP="009C4051">
      <w:pPr>
        <w:pStyle w:val="FootnoteText"/>
        <w:ind w:firstLine="1080"/>
        <w:rPr>
          <w:rFonts w:ascii="Palatino Linotype" w:hAnsi="Palatino Linotype"/>
          <w:szCs w:val="24"/>
        </w:rPr>
      </w:pPr>
      <w:r w:rsidRPr="00F878E4">
        <w:rPr>
          <w:rStyle w:val="FootnoteReference"/>
          <w:rFonts w:ascii="Palatino Linotype" w:hAnsi="Palatino Linotype"/>
          <w:szCs w:val="24"/>
        </w:rPr>
        <w:footnoteRef/>
      </w:r>
      <w:r w:rsidR="009C4051" w:rsidRPr="00F878E4">
        <w:rPr>
          <w:rFonts w:ascii="Palatino Linotype" w:eastAsia="Times New Roman" w:hAnsi="Palatino Linotype" w:cs="Times New Roman"/>
          <w:szCs w:val="24"/>
          <w:lang w:eastAsia="id-ID"/>
        </w:rPr>
        <w:t xml:space="preserve">Walter Brueggemann, </w:t>
      </w:r>
      <w:r w:rsidR="009C4051" w:rsidRPr="00F878E4">
        <w:rPr>
          <w:rFonts w:ascii="Palatino Linotype" w:eastAsia="Times New Roman" w:hAnsi="Palatino Linotype" w:cs="Times New Roman"/>
          <w:i/>
          <w:iCs/>
          <w:szCs w:val="24"/>
          <w:lang w:eastAsia="id-ID"/>
        </w:rPr>
        <w:t>Imajinasi Kenabian</w:t>
      </w:r>
      <w:r w:rsidR="009C4051" w:rsidRPr="00F878E4">
        <w:rPr>
          <w:rFonts w:ascii="Palatino Linotype" w:eastAsia="Times New Roman" w:hAnsi="Palatino Linotype" w:cs="Times New Roman"/>
          <w:szCs w:val="24"/>
          <w:lang w:eastAsia="id-ID"/>
        </w:rPr>
        <w:t xml:space="preserve">, </w:t>
      </w:r>
      <w:r w:rsidR="009E2E1E" w:rsidRPr="00F878E4">
        <w:rPr>
          <w:rFonts w:ascii="Palatino Linotype" w:eastAsia="Times New Roman" w:hAnsi="Palatino Linotype" w:cs="Times New Roman"/>
          <w:szCs w:val="24"/>
          <w:lang w:eastAsia="id-ID"/>
        </w:rPr>
        <w:t>Diterjemahkan oleh</w:t>
      </w:r>
      <w:r w:rsidR="009C4051" w:rsidRPr="00F878E4">
        <w:rPr>
          <w:rFonts w:ascii="Palatino Linotype" w:eastAsia="Times New Roman" w:hAnsi="Palatino Linotype" w:cs="Times New Roman"/>
          <w:szCs w:val="24"/>
          <w:lang w:eastAsia="id-ID"/>
        </w:rPr>
        <w:t xml:space="preserve"> Rinto P. Sinaro (Jakarta: BPK Gunung Mulia, 2001), 31–34.</w:t>
      </w:r>
    </w:p>
  </w:footnote>
  <w:footnote w:id="17">
    <w:p w:rsidR="00677DD8" w:rsidRPr="00F878E4" w:rsidRDefault="00677DD8" w:rsidP="009C4051">
      <w:pPr>
        <w:pStyle w:val="FootnoteText"/>
        <w:ind w:firstLine="1080"/>
        <w:rPr>
          <w:rFonts w:ascii="Palatino Linotype" w:hAnsi="Palatino Linotype"/>
          <w:szCs w:val="24"/>
        </w:rPr>
      </w:pPr>
      <w:r w:rsidRPr="00F878E4">
        <w:rPr>
          <w:rStyle w:val="FootnoteReference"/>
          <w:rFonts w:ascii="Palatino Linotype" w:hAnsi="Palatino Linotype"/>
          <w:szCs w:val="24"/>
        </w:rPr>
        <w:footnoteRef/>
      </w:r>
      <w:r w:rsidR="009C4051" w:rsidRPr="00F878E4">
        <w:rPr>
          <w:rFonts w:ascii="Palatino Linotype" w:eastAsia="Times New Roman" w:hAnsi="Palatino Linotype" w:cs="Times New Roman"/>
          <w:szCs w:val="24"/>
          <w:lang w:eastAsia="id-ID"/>
        </w:rPr>
        <w:t xml:space="preserve">Agus Purwanto, </w:t>
      </w:r>
      <w:r w:rsidR="009C4051" w:rsidRPr="00F878E4">
        <w:rPr>
          <w:rFonts w:ascii="Palatino Linotype" w:eastAsia="Times New Roman" w:hAnsi="Palatino Linotype" w:cs="Times New Roman"/>
          <w:i/>
          <w:iCs/>
          <w:szCs w:val="24"/>
          <w:lang w:eastAsia="id-ID"/>
        </w:rPr>
        <w:t>Keadilan Sosial dalam Perspektif Kitab Suci: Tinjauan Teologis dan Praktis</w:t>
      </w:r>
      <w:r w:rsidR="009C4051" w:rsidRPr="00F878E4">
        <w:rPr>
          <w:rFonts w:ascii="Palatino Linotype" w:eastAsia="Times New Roman" w:hAnsi="Palatino Linotype" w:cs="Times New Roman"/>
          <w:szCs w:val="24"/>
          <w:lang w:eastAsia="id-ID"/>
        </w:rPr>
        <w:t xml:space="preserve"> (Jakarta: Kanisius, 2017), 132–135.</w:t>
      </w:r>
      <w:r w:rsidRPr="00F878E4">
        <w:rPr>
          <w:rFonts w:ascii="Palatino Linotype" w:hAnsi="Palatino Linotype"/>
          <w:szCs w:val="24"/>
        </w:rPr>
        <w:t xml:space="preserve"> </w:t>
      </w:r>
    </w:p>
  </w:footnote>
  <w:footnote w:id="18">
    <w:p w:rsidR="000852E4" w:rsidRPr="00F878E4" w:rsidRDefault="000852E4" w:rsidP="009C4051">
      <w:pPr>
        <w:pStyle w:val="FootnoteText"/>
        <w:ind w:firstLine="1080"/>
        <w:rPr>
          <w:sz w:val="16"/>
        </w:rPr>
      </w:pPr>
      <w:r w:rsidRPr="00F878E4">
        <w:rPr>
          <w:rStyle w:val="FootnoteReference"/>
          <w:rFonts w:ascii="Palatino Linotype" w:hAnsi="Palatino Linotype"/>
          <w:szCs w:val="24"/>
        </w:rPr>
        <w:footnoteRef/>
      </w:r>
      <w:r w:rsidR="009C4051" w:rsidRPr="00F878E4">
        <w:rPr>
          <w:rFonts w:ascii="Palatino Linotype" w:eastAsia="Times New Roman" w:hAnsi="Palatino Linotype" w:cs="Times New Roman"/>
          <w:szCs w:val="24"/>
          <w:lang w:eastAsia="id-ID"/>
        </w:rPr>
        <w:t xml:space="preserve">Susanto Budi, </w:t>
      </w:r>
      <w:r w:rsidR="009C4051" w:rsidRPr="00F878E4">
        <w:rPr>
          <w:rFonts w:ascii="Palatino Linotype" w:eastAsia="Times New Roman" w:hAnsi="Palatino Linotype" w:cs="Times New Roman"/>
          <w:i/>
          <w:iCs/>
          <w:szCs w:val="24"/>
          <w:lang w:eastAsia="id-ID"/>
        </w:rPr>
        <w:t>Teologi Sosial Yesaya: Refleksi tentang Keadilan dan Kasih Tuhan</w:t>
      </w:r>
      <w:r w:rsidR="009C4051" w:rsidRPr="00F878E4">
        <w:rPr>
          <w:rFonts w:ascii="Palatino Linotype" w:eastAsia="Times New Roman" w:hAnsi="Palatino Linotype" w:cs="Times New Roman"/>
          <w:szCs w:val="24"/>
          <w:lang w:eastAsia="id-ID"/>
        </w:rPr>
        <w:t xml:space="preserve"> (Jakarta: BPK Gunung Mulia, 2018), 112-115.</w:t>
      </w:r>
      <w:r w:rsidRPr="00F878E4">
        <w:rPr>
          <w:sz w:val="16"/>
        </w:rPr>
        <w:t xml:space="preserve"> </w:t>
      </w:r>
    </w:p>
  </w:footnote>
  <w:footnote w:id="19">
    <w:p w:rsidR="001A3193" w:rsidRPr="001A3193" w:rsidRDefault="001A3193" w:rsidP="001A3193">
      <w:pPr>
        <w:pStyle w:val="NormalWeb"/>
        <w:spacing w:before="0" w:beforeAutospacing="0" w:after="0" w:afterAutospacing="0"/>
        <w:ind w:firstLine="1080"/>
        <w:jc w:val="both"/>
        <w:rPr>
          <w:rFonts w:ascii="Palatino Linotype" w:hAnsi="Palatino Linotype"/>
        </w:rPr>
      </w:pPr>
      <w:r w:rsidRPr="00F878E4">
        <w:rPr>
          <w:rStyle w:val="FootnoteReference"/>
          <w:rFonts w:ascii="Palatino Linotype" w:hAnsi="Palatino Linotype"/>
          <w:sz w:val="20"/>
        </w:rPr>
        <w:footnoteRef/>
      </w:r>
      <w:r w:rsidRPr="00F878E4">
        <w:rPr>
          <w:rFonts w:ascii="Palatino Linotype" w:hAnsi="Palatino Linotype"/>
          <w:sz w:val="20"/>
        </w:rPr>
        <w:t xml:space="preserve">Edward J. Young, </w:t>
      </w:r>
      <w:r w:rsidRPr="00F878E4">
        <w:rPr>
          <w:rFonts w:ascii="Palatino Linotype" w:hAnsi="Palatino Linotype"/>
          <w:i/>
          <w:iCs/>
          <w:sz w:val="20"/>
        </w:rPr>
        <w:t xml:space="preserve">Kitab Nabi Yesaya </w:t>
      </w:r>
      <w:r w:rsidRPr="00F878E4">
        <w:rPr>
          <w:rFonts w:ascii="Palatino Linotype" w:hAnsi="Palatino Linotype"/>
          <w:iCs/>
          <w:sz w:val="20"/>
        </w:rPr>
        <w:t>Jilid I: Pasal 1–18</w:t>
      </w:r>
      <w:r w:rsidRPr="00F878E4">
        <w:rPr>
          <w:rFonts w:ascii="Palatino Linotype" w:hAnsi="Palatino Linotype"/>
          <w:sz w:val="20"/>
        </w:rPr>
        <w:t xml:space="preserve">, </w:t>
      </w:r>
      <w:r w:rsidR="009E2E1E" w:rsidRPr="00F878E4">
        <w:rPr>
          <w:rFonts w:ascii="Palatino Linotype" w:hAnsi="Palatino Linotype"/>
          <w:sz w:val="20"/>
        </w:rPr>
        <w:t>Diterjemahkan oleh</w:t>
      </w:r>
      <w:r w:rsidRPr="00F878E4">
        <w:rPr>
          <w:rFonts w:ascii="Palatino Linotype" w:hAnsi="Palatino Linotype"/>
          <w:sz w:val="20"/>
        </w:rPr>
        <w:t xml:space="preserve"> P. Manulang (Malang: Gandum Mas, 1992), 35.</w:t>
      </w:r>
    </w:p>
  </w:footnote>
  <w:footnote w:id="20">
    <w:p w:rsidR="001A3193" w:rsidRPr="00F878E4" w:rsidRDefault="001A3193" w:rsidP="001A319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Pr="00F878E4">
        <w:rPr>
          <w:rFonts w:ascii="Palatino Linotype" w:hAnsi="Palatino Linotype"/>
          <w:sz w:val="20"/>
          <w:szCs w:val="20"/>
        </w:rPr>
        <w:t xml:space="preserve">Thomas Aquinas, </w:t>
      </w:r>
      <w:r w:rsidRPr="00F878E4">
        <w:rPr>
          <w:rFonts w:ascii="Palatino Linotype" w:hAnsi="Palatino Linotype"/>
          <w:i/>
          <w:iCs/>
          <w:sz w:val="20"/>
          <w:szCs w:val="20"/>
        </w:rPr>
        <w:t>Summa Theologiae</w:t>
      </w:r>
      <w:r w:rsidRPr="00F878E4">
        <w:rPr>
          <w:rFonts w:ascii="Palatino Linotype" w:hAnsi="Palatino Linotype"/>
          <w:sz w:val="20"/>
          <w:szCs w:val="20"/>
        </w:rPr>
        <w:t xml:space="preserve">, </w:t>
      </w:r>
      <w:r w:rsidR="009E2E1E" w:rsidRPr="00F878E4">
        <w:rPr>
          <w:rFonts w:ascii="Palatino Linotype" w:hAnsi="Palatino Linotype"/>
          <w:sz w:val="20"/>
          <w:szCs w:val="20"/>
        </w:rPr>
        <w:t>Diterjemahkan oleh</w:t>
      </w:r>
      <w:r w:rsidRPr="00F878E4">
        <w:rPr>
          <w:rFonts w:ascii="Palatino Linotype" w:hAnsi="Palatino Linotype"/>
          <w:sz w:val="20"/>
          <w:szCs w:val="20"/>
        </w:rPr>
        <w:t xml:space="preserve"> R. Soedarmo (Jakarta: BPK Gunung Mulia, 2005), 210.</w:t>
      </w:r>
    </w:p>
  </w:footnote>
  <w:footnote w:id="21">
    <w:p w:rsidR="001A3193" w:rsidRPr="00F878E4" w:rsidRDefault="001A3193" w:rsidP="001A3193">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Agustinus, </w:t>
      </w:r>
      <w:r w:rsidRPr="00F878E4">
        <w:rPr>
          <w:rFonts w:ascii="Palatino Linotype" w:hAnsi="Palatino Linotype"/>
          <w:i/>
          <w:iCs/>
        </w:rPr>
        <w:t>Pengakuan-Pengakuan</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R. Soedarmo (Jakarta: BPK Gunung Mulia, 2002), 120. </w:t>
      </w:r>
    </w:p>
  </w:footnote>
  <w:footnote w:id="22">
    <w:p w:rsidR="001A3193" w:rsidRPr="00F878E4" w:rsidRDefault="001A3193" w:rsidP="001A3193">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Stanley Hauerwas, </w:t>
      </w:r>
      <w:r w:rsidRPr="00F878E4">
        <w:rPr>
          <w:rFonts w:ascii="Palatino Linotype" w:hAnsi="Palatino Linotype"/>
          <w:i/>
          <w:iCs/>
        </w:rPr>
        <w:t>Moralitas dalam Komunitas Kristen</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T. Sianipar (Jakarta: BPK Gunung Mulia, 2013), 77.</w:t>
      </w:r>
    </w:p>
  </w:footnote>
  <w:footnote w:id="23">
    <w:p w:rsidR="001A3193" w:rsidRPr="00F878E4" w:rsidRDefault="001A3193" w:rsidP="001A3193">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Oswald T. Allis, </w:t>
      </w:r>
      <w:r w:rsidRPr="00F878E4">
        <w:rPr>
          <w:rFonts w:ascii="Palatino Linotype" w:hAnsi="Palatino Linotype"/>
          <w:i/>
          <w:iCs/>
        </w:rPr>
        <w:t>Kesatuan Kitab Yesaya</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Amir Sutanto (Surabaya: Momentum, 2008), 45.</w:t>
      </w:r>
    </w:p>
  </w:footnote>
  <w:footnote w:id="24">
    <w:p w:rsidR="001A3193" w:rsidRPr="00F878E4" w:rsidRDefault="001A3193" w:rsidP="001A3193">
      <w:pPr>
        <w:pStyle w:val="FootnoteText"/>
        <w:ind w:firstLine="1080"/>
      </w:pPr>
      <w:r w:rsidRPr="00F878E4">
        <w:rPr>
          <w:rStyle w:val="FootnoteReference"/>
        </w:rPr>
        <w:footnoteRef/>
      </w:r>
      <w:r w:rsidRPr="00F878E4">
        <w:rPr>
          <w:rFonts w:ascii="Palatino Linotype" w:hAnsi="Palatino Linotype"/>
        </w:rPr>
        <w:t xml:space="preserve">Abraham Cohen, </w:t>
      </w:r>
      <w:r w:rsidRPr="00F878E4">
        <w:rPr>
          <w:rFonts w:ascii="Palatino Linotype" w:hAnsi="Palatino Linotype"/>
          <w:i/>
          <w:iCs/>
        </w:rPr>
        <w:t>Kitab Nabi-Nabi: Tafsiran dan Penjelasan Alkitab Ibrani</w:t>
      </w:r>
      <w:r w:rsidRPr="00F878E4">
        <w:rPr>
          <w:rFonts w:ascii="Palatino Linotype" w:hAnsi="Palatino Linotype"/>
        </w:rPr>
        <w:t xml:space="preserve"> (Jakarta: BPK Gunung Mulia, 2004), 112.</w:t>
      </w:r>
    </w:p>
  </w:footnote>
  <w:footnote w:id="25">
    <w:p w:rsidR="001A3193" w:rsidRPr="00F878E4" w:rsidRDefault="001A3193" w:rsidP="008A470B">
      <w:pPr>
        <w:pStyle w:val="FootnoteText"/>
        <w:ind w:firstLine="1080"/>
      </w:pPr>
      <w:r w:rsidRPr="00F878E4">
        <w:rPr>
          <w:rStyle w:val="FootnoteReference"/>
        </w:rPr>
        <w:footnoteRef/>
      </w:r>
      <w:r w:rsidRPr="00F878E4">
        <w:rPr>
          <w:rFonts w:ascii="Palatino Linotype" w:hAnsi="Palatino Linotype"/>
        </w:rPr>
        <w:t xml:space="preserve">Nicholas Wolterstorff, </w:t>
      </w:r>
      <w:r w:rsidRPr="00F878E4">
        <w:rPr>
          <w:rFonts w:ascii="Palatino Linotype" w:hAnsi="Palatino Linotype"/>
          <w:i/>
          <w:iCs/>
        </w:rPr>
        <w:t>Keadilan dan Kasih: Teologi dan Hak Asasi Manusia</w:t>
      </w:r>
      <w:r w:rsidRPr="00F878E4">
        <w:rPr>
          <w:rFonts w:ascii="Palatino Linotype" w:hAnsi="Palatino Linotype"/>
        </w:rPr>
        <w:t xml:space="preserve"> (Jakarta: BPK Gunung Mulia, 2017), 45.</w:t>
      </w:r>
      <w:r w:rsidRPr="00F878E4">
        <w:t xml:space="preserve"> </w:t>
      </w:r>
    </w:p>
  </w:footnote>
  <w:footnote w:id="26">
    <w:p w:rsidR="001A3193" w:rsidRPr="00F878E4" w:rsidRDefault="001A3193" w:rsidP="008A470B">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Pr="00F878E4">
        <w:rPr>
          <w:rFonts w:ascii="Palatino Linotype" w:hAnsi="Palatino Linotype"/>
          <w:sz w:val="20"/>
          <w:szCs w:val="20"/>
        </w:rPr>
        <w:t xml:space="preserve">Agustinus, </w:t>
      </w:r>
      <w:r w:rsidRPr="00F878E4">
        <w:rPr>
          <w:rFonts w:ascii="Palatino Linotype" w:hAnsi="Palatino Linotype"/>
          <w:i/>
          <w:iCs/>
          <w:sz w:val="20"/>
          <w:szCs w:val="20"/>
        </w:rPr>
        <w:t>Kota Allah</w:t>
      </w:r>
      <w:r w:rsidRPr="00F878E4">
        <w:rPr>
          <w:rFonts w:ascii="Palatino Linotype" w:hAnsi="Palatino Linotype"/>
          <w:sz w:val="20"/>
          <w:szCs w:val="20"/>
        </w:rPr>
        <w:t xml:space="preserve"> (Surabaya: Momentum, 2008), 123.</w:t>
      </w:r>
    </w:p>
  </w:footnote>
  <w:footnote w:id="27">
    <w:p w:rsidR="001A3193" w:rsidRPr="00F878E4" w:rsidRDefault="001A3193" w:rsidP="008A470B">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Pr="00F878E4">
        <w:rPr>
          <w:rFonts w:ascii="Palatino Linotype" w:hAnsi="Palatino Linotype"/>
          <w:sz w:val="20"/>
          <w:szCs w:val="20"/>
        </w:rPr>
        <w:t xml:space="preserve">Dietrich Bonhoeffer, </w:t>
      </w:r>
      <w:r w:rsidRPr="00F878E4">
        <w:rPr>
          <w:rFonts w:ascii="Palatino Linotype" w:hAnsi="Palatino Linotype"/>
          <w:i/>
          <w:iCs/>
          <w:sz w:val="20"/>
          <w:szCs w:val="20"/>
        </w:rPr>
        <w:t>Etika</w:t>
      </w:r>
      <w:r w:rsidRPr="00F878E4">
        <w:rPr>
          <w:rFonts w:ascii="Palatino Linotype" w:hAnsi="Palatino Linotype"/>
          <w:sz w:val="20"/>
          <w:szCs w:val="20"/>
        </w:rPr>
        <w:t xml:space="preserve"> (Jakarta: BPK Gunung Mulia, 2010), 202.</w:t>
      </w:r>
    </w:p>
  </w:footnote>
  <w:footnote w:id="28">
    <w:p w:rsidR="001A3193" w:rsidRPr="00F878E4" w:rsidRDefault="001A3193" w:rsidP="008A470B">
      <w:pPr>
        <w:pStyle w:val="FootnoteText"/>
        <w:ind w:firstLine="1080"/>
      </w:pPr>
      <w:r w:rsidRPr="00F878E4">
        <w:rPr>
          <w:rStyle w:val="FootnoteReference"/>
        </w:rPr>
        <w:footnoteRef/>
      </w:r>
      <w:r w:rsidRPr="00F878E4">
        <w:rPr>
          <w:rFonts w:ascii="Palatino Linotype" w:hAnsi="Palatino Linotype"/>
        </w:rPr>
        <w:t xml:space="preserve">Samuel Terrien, </w:t>
      </w:r>
      <w:r w:rsidRPr="00F878E4">
        <w:rPr>
          <w:rFonts w:ascii="Palatino Linotype" w:hAnsi="Palatino Linotype"/>
          <w:i/>
          <w:iCs/>
        </w:rPr>
        <w:t>Teologi Perjanjian Lama</w:t>
      </w:r>
      <w:r w:rsidRPr="00F878E4">
        <w:rPr>
          <w:rFonts w:ascii="Palatino Linotype" w:hAnsi="Palatino Linotype"/>
        </w:rPr>
        <w:t xml:space="preserve"> (Jakarta: BPK Gunung Mulia, 2006), 95.</w:t>
      </w:r>
      <w:r w:rsidRPr="00F878E4">
        <w:t xml:space="preserve"> </w:t>
      </w:r>
    </w:p>
  </w:footnote>
  <w:footnote w:id="29">
    <w:p w:rsidR="008A470B" w:rsidRPr="00F878E4" w:rsidRDefault="008A470B" w:rsidP="00F878E4">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Pr="00F878E4">
        <w:rPr>
          <w:rFonts w:ascii="Palatino Linotype" w:hAnsi="Palatino Linotype"/>
          <w:sz w:val="20"/>
          <w:szCs w:val="20"/>
        </w:rPr>
        <w:t xml:space="preserve">Francis Brown, S. R. Driver, dan C. A. Briggs, </w:t>
      </w:r>
      <w:r w:rsidRPr="00F878E4">
        <w:rPr>
          <w:rFonts w:ascii="Palatino Linotype" w:hAnsi="Palatino Linotype"/>
          <w:i/>
          <w:iCs/>
          <w:sz w:val="20"/>
          <w:szCs w:val="20"/>
        </w:rPr>
        <w:t>Kamus Ibrani–Injil</w:t>
      </w:r>
      <w:r w:rsidRPr="00F878E4">
        <w:rPr>
          <w:rFonts w:ascii="Palatino Linotype" w:hAnsi="Palatino Linotype"/>
          <w:sz w:val="20"/>
          <w:szCs w:val="20"/>
        </w:rPr>
        <w:t xml:space="preserve"> (Jakarta: Lembaga Alkitab Indonesia, 1996), 64–65.</w:t>
      </w:r>
    </w:p>
  </w:footnote>
  <w:footnote w:id="30">
    <w:p w:rsidR="008A470B" w:rsidRPr="00F878E4" w:rsidRDefault="008A470B" w:rsidP="00863716">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Pr="00F878E4">
        <w:rPr>
          <w:rFonts w:ascii="Palatino Linotype" w:hAnsi="Palatino Linotype"/>
          <w:sz w:val="20"/>
          <w:szCs w:val="20"/>
        </w:rPr>
        <w:t xml:space="preserve">John N. Oswalt, </w:t>
      </w:r>
      <w:r w:rsidRPr="00F878E4">
        <w:rPr>
          <w:rFonts w:ascii="Palatino Linotype" w:hAnsi="Palatino Linotype"/>
          <w:i/>
          <w:iCs/>
          <w:sz w:val="20"/>
          <w:szCs w:val="20"/>
        </w:rPr>
        <w:t>The Book of Isaiah</w:t>
      </w:r>
      <w:r w:rsidRPr="00F878E4">
        <w:rPr>
          <w:rFonts w:ascii="Palatino Linotype" w:hAnsi="Palatino Linotype"/>
          <w:sz w:val="20"/>
          <w:szCs w:val="20"/>
        </w:rPr>
        <w:t xml:space="preserve">, </w:t>
      </w:r>
      <w:r w:rsidR="008A4D10" w:rsidRPr="00F878E4">
        <w:rPr>
          <w:rFonts w:ascii="Palatino Linotype" w:hAnsi="Palatino Linotype"/>
          <w:sz w:val="20"/>
          <w:szCs w:val="20"/>
        </w:rPr>
        <w:t>J</w:t>
      </w:r>
      <w:r w:rsidRPr="00F878E4">
        <w:rPr>
          <w:rFonts w:ascii="Palatino Linotype" w:hAnsi="Palatino Linotype"/>
          <w:sz w:val="20"/>
          <w:szCs w:val="20"/>
        </w:rPr>
        <w:t>ilid 1 (Jakarta: BPK Gunung Mulia, 2001), 23.</w:t>
      </w:r>
    </w:p>
  </w:footnote>
  <w:footnote w:id="31">
    <w:p w:rsidR="008A470B" w:rsidRPr="00F878E4" w:rsidRDefault="008A470B" w:rsidP="00863716">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Thomas Aquinas, </w:t>
      </w:r>
      <w:r w:rsidRPr="00F878E4">
        <w:rPr>
          <w:rFonts w:ascii="Palatino Linotype" w:hAnsi="Palatino Linotype"/>
          <w:i/>
          <w:iCs/>
        </w:rPr>
        <w:t>Summa Theologiae</w:t>
      </w:r>
      <w:r w:rsidRPr="00F878E4">
        <w:rPr>
          <w:rFonts w:ascii="Palatino Linotype" w:hAnsi="Palatino Linotype"/>
        </w:rPr>
        <w:t xml:space="preserve">, dalam </w:t>
      </w:r>
      <w:r w:rsidRPr="00F878E4">
        <w:rPr>
          <w:rFonts w:ascii="Palatino Linotype" w:hAnsi="Palatino Linotype"/>
          <w:i/>
          <w:iCs/>
        </w:rPr>
        <w:t>Kompilasi Ajaran Moral Kristiani</w:t>
      </w:r>
      <w:r w:rsidRPr="00F878E4">
        <w:rPr>
          <w:rFonts w:ascii="Palatino Linotype" w:hAnsi="Palatino Linotype"/>
        </w:rPr>
        <w:t>, ed. A. Gultom (Yogyakarta: Kanisius, 2007), 193.</w:t>
      </w:r>
    </w:p>
  </w:footnote>
  <w:footnote w:id="32">
    <w:p w:rsidR="008A470B" w:rsidRPr="00F878E4" w:rsidRDefault="008A470B" w:rsidP="00863716">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Pr="00F878E4">
        <w:rPr>
          <w:rFonts w:ascii="Palatino Linotype" w:hAnsi="Palatino Linotype"/>
          <w:sz w:val="20"/>
          <w:szCs w:val="20"/>
        </w:rPr>
        <w:t xml:space="preserve">Agustinus, </w:t>
      </w:r>
      <w:r w:rsidRPr="00F878E4">
        <w:rPr>
          <w:rFonts w:ascii="Palatino Linotype" w:hAnsi="Palatino Linotype"/>
          <w:i/>
          <w:iCs/>
          <w:sz w:val="20"/>
          <w:szCs w:val="20"/>
        </w:rPr>
        <w:t>Kota Allah (De Civitate Dei)</w:t>
      </w:r>
      <w:r w:rsidRPr="00F878E4">
        <w:rPr>
          <w:rFonts w:ascii="Palatino Linotype" w:hAnsi="Palatino Linotype"/>
          <w:sz w:val="20"/>
          <w:szCs w:val="20"/>
        </w:rPr>
        <w:t xml:space="preserve">, </w:t>
      </w:r>
      <w:r w:rsidR="009E2E1E" w:rsidRPr="00F878E4">
        <w:rPr>
          <w:rFonts w:ascii="Palatino Linotype" w:hAnsi="Palatino Linotype"/>
          <w:sz w:val="20"/>
          <w:szCs w:val="20"/>
        </w:rPr>
        <w:t>Diterjemahkan oleh</w:t>
      </w:r>
      <w:r w:rsidRPr="00F878E4">
        <w:rPr>
          <w:rFonts w:ascii="Palatino Linotype" w:hAnsi="Palatino Linotype"/>
          <w:sz w:val="20"/>
          <w:szCs w:val="20"/>
        </w:rPr>
        <w:t xml:space="preserve"> L. Simamora (Jakarta: BPK Gunung Mulia, 2009), 274.</w:t>
      </w:r>
    </w:p>
  </w:footnote>
  <w:footnote w:id="33">
    <w:p w:rsidR="008A470B" w:rsidRPr="00F878E4" w:rsidRDefault="008A470B" w:rsidP="00863716">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John Stott, </w:t>
      </w:r>
      <w:r w:rsidRPr="00F878E4">
        <w:rPr>
          <w:rFonts w:ascii="Palatino Linotype" w:hAnsi="Palatino Linotype"/>
          <w:i/>
          <w:iCs/>
        </w:rPr>
        <w:t>Gereja di Persimpangan Jalan: Menjadi Umat Allah di Tengah Dunia</w:t>
      </w:r>
      <w:r w:rsidRPr="00F878E4">
        <w:rPr>
          <w:rFonts w:ascii="Palatino Linotype" w:hAnsi="Palatino Linotype"/>
        </w:rPr>
        <w:t xml:space="preserve"> (Malang: Gandum Mas, 2007), 89–91.</w:t>
      </w:r>
    </w:p>
  </w:footnote>
  <w:footnote w:id="34">
    <w:p w:rsidR="008A470B" w:rsidRPr="00F878E4" w:rsidRDefault="008A470B" w:rsidP="00863716">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Francis Brown, S. R. Driver, dan Charles A. Briggs, </w:t>
      </w:r>
      <w:r w:rsidRPr="00F878E4">
        <w:rPr>
          <w:rFonts w:ascii="Palatino Linotype" w:hAnsi="Palatino Linotype"/>
          <w:i/>
          <w:iCs/>
        </w:rPr>
        <w:t>Kamus Ibrani–Injil</w:t>
      </w:r>
      <w:r w:rsidRPr="00F878E4">
        <w:rPr>
          <w:rFonts w:ascii="Palatino Linotype" w:hAnsi="Palatino Linotype"/>
        </w:rPr>
        <w:t xml:space="preserve"> (Jakarta: Lembaga Alkitab Indonesia, 1996), 104. </w:t>
      </w:r>
    </w:p>
  </w:footnote>
  <w:footnote w:id="35">
    <w:p w:rsidR="008A470B" w:rsidRPr="00F878E4" w:rsidRDefault="008A470B" w:rsidP="00863716">
      <w:pPr>
        <w:pStyle w:val="FootnoteText"/>
        <w:ind w:firstLine="1080"/>
      </w:pPr>
      <w:r w:rsidRPr="00F878E4">
        <w:rPr>
          <w:rStyle w:val="FootnoteReference"/>
          <w:rFonts w:ascii="Palatino Linotype" w:hAnsi="Palatino Linotype"/>
        </w:rPr>
        <w:footnoteRef/>
      </w:r>
      <w:r w:rsidRPr="00F878E4">
        <w:rPr>
          <w:rFonts w:ascii="Palatino Linotype" w:hAnsi="Palatino Linotype"/>
        </w:rPr>
        <w:t xml:space="preserve">John Stott, </w:t>
      </w:r>
      <w:r w:rsidRPr="00F878E4">
        <w:rPr>
          <w:rFonts w:ascii="Palatino Linotype" w:hAnsi="Palatino Linotype"/>
          <w:i/>
          <w:iCs/>
        </w:rPr>
        <w:t>Khotbah di Bukit dan Ajaran Yesus yang Radikal</w:t>
      </w:r>
      <w:r w:rsidRPr="00F878E4">
        <w:rPr>
          <w:rFonts w:ascii="Palatino Linotype" w:hAnsi="Palatino Linotype"/>
        </w:rPr>
        <w:t xml:space="preserve"> (Malang: Gandum Mas, 2004), 112.</w:t>
      </w:r>
      <w:r w:rsidRPr="00F878E4">
        <w:t xml:space="preserve"> </w:t>
      </w:r>
    </w:p>
  </w:footnote>
  <w:footnote w:id="36">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Abraham J. Heschel, </w:t>
      </w:r>
      <w:r w:rsidRPr="00F878E4">
        <w:rPr>
          <w:rFonts w:ascii="Palatino Linotype" w:hAnsi="Palatino Linotype"/>
          <w:i/>
          <w:iCs/>
        </w:rPr>
        <w:t>Para Nabi</w:t>
      </w:r>
      <w:r w:rsidRPr="00F878E4">
        <w:rPr>
          <w:rFonts w:ascii="Palatino Linotype" w:hAnsi="Palatino Linotype"/>
        </w:rPr>
        <w:t xml:space="preserve"> (Jakarta: BPK Gunung Mulia, 2003), 54–55. </w:t>
      </w:r>
    </w:p>
  </w:footnote>
  <w:footnote w:id="37">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Agustinus, </w:t>
      </w:r>
      <w:r w:rsidRPr="00F878E4">
        <w:rPr>
          <w:rFonts w:ascii="Palatino Linotype" w:hAnsi="Palatino Linotype"/>
          <w:i/>
          <w:iCs/>
        </w:rPr>
        <w:t>Kota Allah (De Civitate Dei)</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Agung Prihantoro (Yogyakarta: Penerbit Kanisius, 2010), 94.</w:t>
      </w:r>
    </w:p>
  </w:footnote>
  <w:footnote w:id="38">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Amos Yong, </w:t>
      </w:r>
      <w:r w:rsidRPr="00F878E4">
        <w:rPr>
          <w:rFonts w:ascii="Palatino Linotype" w:hAnsi="Palatino Linotype"/>
          <w:i/>
          <w:iCs/>
        </w:rPr>
        <w:t>Teologi Sosial dalam Perspektif Injili</w:t>
      </w:r>
      <w:r w:rsidRPr="00F878E4">
        <w:rPr>
          <w:rFonts w:ascii="Palatino Linotype" w:hAnsi="Palatino Linotype"/>
        </w:rPr>
        <w:t xml:space="preserve"> (Jakarta: BPK Gunung Mulia, 2017), 134.</w:t>
      </w:r>
    </w:p>
  </w:footnote>
  <w:footnote w:id="39">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Francis Brown, S. R. Driver, dan Charles A. Briggs, </w:t>
      </w:r>
      <w:r w:rsidRPr="00F878E4">
        <w:rPr>
          <w:rFonts w:ascii="Palatino Linotype" w:hAnsi="Palatino Linotype"/>
          <w:i/>
          <w:iCs/>
        </w:rPr>
        <w:t>Kamus Ibrani–Injil</w:t>
      </w:r>
      <w:r w:rsidRPr="00F878E4">
        <w:rPr>
          <w:rFonts w:ascii="Palatino Linotype" w:hAnsi="Palatino Linotype"/>
        </w:rPr>
        <w:t xml:space="preserve"> (Jakarta: Lembaga Alkitab Indonesia, 1996), 936. </w:t>
      </w:r>
    </w:p>
  </w:footnote>
  <w:footnote w:id="40">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Victor P. Furnish, </w:t>
      </w:r>
      <w:r w:rsidRPr="00F878E4">
        <w:rPr>
          <w:rFonts w:ascii="Palatino Linotype" w:hAnsi="Palatino Linotype"/>
          <w:i/>
          <w:iCs/>
        </w:rPr>
        <w:t>Keadilan Sosial dalam Perjanjian Lama</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I. Simanjuntak (Jakarta: BPK Gunung Mulia, 2007), 57.</w:t>
      </w:r>
    </w:p>
  </w:footnote>
  <w:footnote w:id="41">
    <w:p w:rsidR="008A470B" w:rsidRPr="00F878E4" w:rsidRDefault="008A470B" w:rsidP="00AE60A7">
      <w:pPr>
        <w:pStyle w:val="FootnoteText"/>
        <w:ind w:firstLine="1080"/>
      </w:pPr>
      <w:r w:rsidRPr="00F878E4">
        <w:rPr>
          <w:rStyle w:val="FootnoteReference"/>
          <w:rFonts w:ascii="Palatino Linotype" w:hAnsi="Palatino Linotype"/>
        </w:rPr>
        <w:footnoteRef/>
      </w:r>
      <w:r w:rsidRPr="00F878E4">
        <w:rPr>
          <w:rFonts w:ascii="Palatino Linotype" w:hAnsi="Palatino Linotype"/>
        </w:rPr>
        <w:t xml:space="preserve">Walter Brueggemann, </w:t>
      </w:r>
      <w:r w:rsidRPr="00F878E4">
        <w:rPr>
          <w:rFonts w:ascii="Palatino Linotype" w:hAnsi="Palatino Linotype"/>
          <w:i/>
          <w:iCs/>
        </w:rPr>
        <w:t>Nabi-Nabi Israel</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D. Siahaan (Jakarta: BPK Gunung Mulia, 2013), 146.</w:t>
      </w:r>
    </w:p>
  </w:footnote>
  <w:footnote w:id="42">
    <w:p w:rsidR="008A470B" w:rsidRPr="00F878E4" w:rsidRDefault="008A470B" w:rsidP="00AE60A7">
      <w:pPr>
        <w:pStyle w:val="FootnoteText"/>
        <w:ind w:firstLine="1080"/>
      </w:pPr>
      <w:r w:rsidRPr="00F878E4">
        <w:rPr>
          <w:rStyle w:val="FootnoteReference"/>
        </w:rPr>
        <w:footnoteRef/>
      </w:r>
      <w:r w:rsidRPr="00F878E4">
        <w:rPr>
          <w:rFonts w:ascii="Palatino Linotype" w:hAnsi="Palatino Linotype"/>
        </w:rPr>
        <w:t xml:space="preserve">Martin Luther, </w:t>
      </w:r>
      <w:r w:rsidRPr="00F878E4">
        <w:rPr>
          <w:rFonts w:ascii="Palatino Linotype" w:hAnsi="Palatino Linotype"/>
          <w:i/>
          <w:iCs/>
        </w:rPr>
        <w:t>Komentar Kitab Para Nabi</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 Saragih (Jakarta: BPK Gunung Mulia, 2011), 89.</w:t>
      </w:r>
    </w:p>
  </w:footnote>
  <w:footnote w:id="43">
    <w:p w:rsidR="008A470B" w:rsidRPr="00F878E4" w:rsidRDefault="008A470B" w:rsidP="00AE60A7">
      <w:pPr>
        <w:pStyle w:val="FootnoteText"/>
        <w:ind w:firstLine="1080"/>
      </w:pPr>
      <w:r w:rsidRPr="00F878E4">
        <w:rPr>
          <w:rStyle w:val="FootnoteReference"/>
        </w:rPr>
        <w:footnoteRef/>
      </w:r>
      <w:r w:rsidRPr="00F878E4">
        <w:rPr>
          <w:rFonts w:ascii="Palatino Linotype" w:hAnsi="Palatino Linotype"/>
        </w:rPr>
        <w:t xml:space="preserve">Nicholas Wolterstorff, </w:t>
      </w:r>
      <w:r w:rsidRPr="00F878E4">
        <w:rPr>
          <w:rFonts w:ascii="Palatino Linotype" w:hAnsi="Palatino Linotype"/>
          <w:i/>
          <w:iCs/>
        </w:rPr>
        <w:t>Keadilan dan Martabat Manusia</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M. Harahap (Yogyakarta: Duta Wacana Press, 2015), 102–104.</w:t>
      </w:r>
    </w:p>
  </w:footnote>
  <w:footnote w:id="44">
    <w:p w:rsidR="008A470B" w:rsidRPr="00F878E4" w:rsidRDefault="008A470B" w:rsidP="00AE60A7">
      <w:pPr>
        <w:pStyle w:val="FootnoteText"/>
        <w:ind w:firstLine="1080"/>
      </w:pPr>
      <w:r w:rsidRPr="00F878E4">
        <w:rPr>
          <w:rStyle w:val="FootnoteReference"/>
        </w:rPr>
        <w:footnoteRef/>
      </w:r>
      <w:r w:rsidRPr="00F878E4">
        <w:rPr>
          <w:rFonts w:ascii="Palatino Linotype" w:hAnsi="Palatino Linotype"/>
        </w:rPr>
        <w:t xml:space="preserve">Tim O’Brien, </w:t>
      </w:r>
      <w:r w:rsidRPr="00F878E4">
        <w:rPr>
          <w:rFonts w:ascii="Palatino Linotype" w:hAnsi="Palatino Linotype"/>
          <w:i/>
          <w:iCs/>
        </w:rPr>
        <w:t>Gereja dan Keadilan Sosial: Peran Gereja dalam Masyarakat Modern</w:t>
      </w:r>
      <w:r w:rsidRPr="00F878E4">
        <w:rPr>
          <w:rFonts w:ascii="Palatino Linotype" w:hAnsi="Palatino Linotype"/>
        </w:rPr>
        <w:t xml:space="preserve"> (Jakarta: BPK Gunung Mulia, 2019), 10.</w:t>
      </w:r>
    </w:p>
  </w:footnote>
  <w:footnote w:id="45">
    <w:p w:rsidR="007A7747" w:rsidRPr="00F878E4" w:rsidRDefault="007A7747" w:rsidP="00F878E4">
      <w:pPr>
        <w:pStyle w:val="NormalWeb"/>
        <w:spacing w:before="0" w:beforeAutospacing="0" w:after="0" w:afterAutospacing="0"/>
        <w:ind w:firstLine="1080"/>
        <w:jc w:val="both"/>
        <w:rPr>
          <w:rFonts w:ascii="Palatino Linotype" w:hAnsi="Palatino Linotype"/>
          <w:sz w:val="20"/>
        </w:rPr>
      </w:pPr>
      <w:r w:rsidRPr="00F878E4">
        <w:rPr>
          <w:rStyle w:val="FootnoteReference"/>
          <w:sz w:val="20"/>
        </w:rPr>
        <w:footnoteRef/>
      </w:r>
      <w:r w:rsidRPr="00F878E4">
        <w:rPr>
          <w:rFonts w:ascii="Palatino Linotype" w:hAnsi="Palatino Linotype"/>
          <w:sz w:val="20"/>
        </w:rPr>
        <w:t xml:space="preserve">Samuel Terrien, </w:t>
      </w:r>
      <w:r w:rsidRPr="00F878E4">
        <w:rPr>
          <w:rFonts w:ascii="Palatino Linotype" w:hAnsi="Palatino Linotype"/>
          <w:i/>
          <w:iCs/>
          <w:sz w:val="20"/>
        </w:rPr>
        <w:t>The Elusive Presence: Toward a New Biblical Theology</w:t>
      </w:r>
      <w:r w:rsidRPr="00F878E4">
        <w:rPr>
          <w:rFonts w:ascii="Palatino Linotype" w:hAnsi="Palatino Linotype"/>
          <w:sz w:val="20"/>
        </w:rPr>
        <w:t xml:space="preserve"> (Jakarta: BPK Gunung Mulia, 2003), 115.</w:t>
      </w:r>
    </w:p>
  </w:footnote>
  <w:footnote w:id="46">
    <w:p w:rsidR="007A7747" w:rsidRPr="00F878E4" w:rsidRDefault="007A7747" w:rsidP="00CC1F73">
      <w:pPr>
        <w:pStyle w:val="NormalWeb"/>
        <w:spacing w:before="0" w:beforeAutospacing="0" w:after="0" w:afterAutospacing="0"/>
        <w:ind w:firstLine="1080"/>
        <w:jc w:val="both"/>
        <w:rPr>
          <w:rFonts w:ascii="Palatino Linotype" w:hAnsi="Palatino Linotype"/>
          <w:sz w:val="20"/>
        </w:rPr>
      </w:pPr>
      <w:r w:rsidRPr="00F878E4">
        <w:rPr>
          <w:rStyle w:val="FootnoteReference"/>
          <w:sz w:val="20"/>
        </w:rPr>
        <w:footnoteRef/>
      </w:r>
      <w:r w:rsidR="00B430CA" w:rsidRPr="00F878E4">
        <w:rPr>
          <w:rFonts w:ascii="Palatino Linotype" w:hAnsi="Palatino Linotype"/>
          <w:sz w:val="20"/>
        </w:rPr>
        <w:t xml:space="preserve">Agustinus, </w:t>
      </w:r>
      <w:r w:rsidR="00B430CA" w:rsidRPr="00F878E4">
        <w:rPr>
          <w:rFonts w:ascii="Palatino Linotype" w:hAnsi="Palatino Linotype"/>
          <w:i/>
          <w:iCs/>
          <w:sz w:val="20"/>
        </w:rPr>
        <w:t>Tentang Kota Allah</w:t>
      </w:r>
      <w:r w:rsidR="00B430CA" w:rsidRPr="00F878E4">
        <w:rPr>
          <w:rFonts w:ascii="Palatino Linotype" w:hAnsi="Palatino Linotype"/>
          <w:sz w:val="20"/>
        </w:rPr>
        <w:t xml:space="preserve">, </w:t>
      </w:r>
      <w:r w:rsidR="009E2E1E" w:rsidRPr="00F878E4">
        <w:rPr>
          <w:rFonts w:ascii="Palatino Linotype" w:hAnsi="Palatino Linotype"/>
          <w:sz w:val="20"/>
        </w:rPr>
        <w:t>Diterjemahkan oleh</w:t>
      </w:r>
      <w:r w:rsidR="00B430CA" w:rsidRPr="00F878E4">
        <w:rPr>
          <w:rFonts w:ascii="Palatino Linotype" w:hAnsi="Palatino Linotype"/>
          <w:sz w:val="20"/>
        </w:rPr>
        <w:t xml:space="preserve"> A. Sunarto (Yogyakarta: Kanisius, 2004), 287–288.</w:t>
      </w:r>
    </w:p>
  </w:footnote>
  <w:footnote w:id="47">
    <w:p w:rsidR="007A7747" w:rsidRPr="00F878E4" w:rsidRDefault="007A7747" w:rsidP="00CC1F73">
      <w:pPr>
        <w:pStyle w:val="NormalWeb"/>
        <w:spacing w:before="0" w:beforeAutospacing="0" w:after="0" w:afterAutospacing="0"/>
        <w:ind w:firstLine="1080"/>
        <w:jc w:val="both"/>
        <w:rPr>
          <w:rFonts w:ascii="Palatino Linotype" w:hAnsi="Palatino Linotype"/>
          <w:sz w:val="20"/>
        </w:rPr>
      </w:pPr>
      <w:r w:rsidRPr="00F878E4">
        <w:rPr>
          <w:rStyle w:val="FootnoteReference"/>
          <w:sz w:val="20"/>
        </w:rPr>
        <w:footnoteRef/>
      </w:r>
      <w:r w:rsidR="00B430CA" w:rsidRPr="00F878E4">
        <w:rPr>
          <w:rFonts w:ascii="Palatino Linotype" w:hAnsi="Palatino Linotype"/>
          <w:sz w:val="20"/>
        </w:rPr>
        <w:t xml:space="preserve">Karl Barth, </w:t>
      </w:r>
      <w:r w:rsidR="00B430CA" w:rsidRPr="00F878E4">
        <w:rPr>
          <w:rFonts w:ascii="Palatino Linotype" w:hAnsi="Palatino Linotype"/>
          <w:i/>
          <w:iCs/>
          <w:sz w:val="20"/>
        </w:rPr>
        <w:t>Dogmatika Gereja</w:t>
      </w:r>
      <w:r w:rsidR="00B430CA" w:rsidRPr="00F878E4">
        <w:rPr>
          <w:rFonts w:ascii="Palatino Linotype" w:hAnsi="Palatino Linotype"/>
          <w:sz w:val="20"/>
        </w:rPr>
        <w:t xml:space="preserve">, jilid II/1, </w:t>
      </w:r>
      <w:r w:rsidR="009E2E1E" w:rsidRPr="00F878E4">
        <w:rPr>
          <w:rFonts w:ascii="Palatino Linotype" w:hAnsi="Palatino Linotype"/>
          <w:sz w:val="20"/>
        </w:rPr>
        <w:t>Diterjemahkan oleh</w:t>
      </w:r>
      <w:r w:rsidR="00B430CA" w:rsidRPr="00F878E4">
        <w:rPr>
          <w:rFonts w:ascii="Palatino Linotype" w:hAnsi="Palatino Linotype"/>
          <w:sz w:val="20"/>
        </w:rPr>
        <w:t xml:space="preserve"> S. Notosusanto (Jakarta: BPK Gunung Mulia, 2012), 76–78.</w:t>
      </w:r>
    </w:p>
  </w:footnote>
  <w:footnote w:id="48">
    <w:p w:rsidR="007A7747" w:rsidRPr="00F878E4" w:rsidRDefault="007A7747" w:rsidP="00CC1F73">
      <w:pPr>
        <w:pStyle w:val="NormalWeb"/>
        <w:spacing w:before="0" w:beforeAutospacing="0" w:after="0" w:afterAutospacing="0"/>
        <w:ind w:firstLine="1080"/>
        <w:jc w:val="both"/>
        <w:rPr>
          <w:rFonts w:ascii="Palatino Linotype" w:hAnsi="Palatino Linotype"/>
          <w:sz w:val="20"/>
        </w:rPr>
      </w:pPr>
      <w:r w:rsidRPr="00F878E4">
        <w:rPr>
          <w:rStyle w:val="FootnoteReference"/>
          <w:sz w:val="20"/>
        </w:rPr>
        <w:footnoteRef/>
      </w:r>
      <w:r w:rsidR="00B430CA" w:rsidRPr="00F878E4">
        <w:rPr>
          <w:rFonts w:ascii="Palatino Linotype" w:hAnsi="Palatino Linotype"/>
          <w:sz w:val="20"/>
        </w:rPr>
        <w:t xml:space="preserve">Dietrich Bonhoeffer, </w:t>
      </w:r>
      <w:r w:rsidR="00B430CA" w:rsidRPr="00F878E4">
        <w:rPr>
          <w:rFonts w:ascii="Palatino Linotype" w:hAnsi="Palatino Linotype"/>
          <w:i/>
          <w:iCs/>
          <w:sz w:val="20"/>
        </w:rPr>
        <w:t>Etika</w:t>
      </w:r>
      <w:r w:rsidR="00B430CA" w:rsidRPr="00F878E4">
        <w:rPr>
          <w:rFonts w:ascii="Palatino Linotype" w:hAnsi="Palatino Linotype"/>
          <w:sz w:val="20"/>
        </w:rPr>
        <w:t xml:space="preserve">, </w:t>
      </w:r>
      <w:r w:rsidR="009E2E1E" w:rsidRPr="00F878E4">
        <w:rPr>
          <w:rFonts w:ascii="Palatino Linotype" w:hAnsi="Palatino Linotype"/>
          <w:sz w:val="20"/>
        </w:rPr>
        <w:t>Diterjemahkan oleh</w:t>
      </w:r>
      <w:r w:rsidR="00B430CA" w:rsidRPr="00F878E4">
        <w:rPr>
          <w:rFonts w:ascii="Palatino Linotype" w:hAnsi="Palatino Linotype"/>
          <w:sz w:val="20"/>
        </w:rPr>
        <w:t xml:space="preserve"> Daniel Setiawan (Malang: Gandum Mas, 2010), 134–135.</w:t>
      </w:r>
    </w:p>
  </w:footnote>
  <w:footnote w:id="49">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00B430CA" w:rsidRPr="00F878E4">
        <w:rPr>
          <w:rFonts w:ascii="Palatino Linotype" w:hAnsi="Palatino Linotype"/>
          <w:sz w:val="20"/>
          <w:szCs w:val="20"/>
        </w:rPr>
        <w:t>K</w:t>
      </w:r>
      <w:r w:rsidR="00CD5AB5">
        <w:rPr>
          <w:rFonts w:ascii="Palatino Linotype" w:hAnsi="Palatino Linotype"/>
          <w:sz w:val="20"/>
          <w:szCs w:val="20"/>
        </w:rPr>
        <w:t>amus Besar Bahasa Indonesia, Edisi</w:t>
      </w:r>
      <w:r w:rsidR="00B430CA" w:rsidRPr="00F878E4">
        <w:rPr>
          <w:rFonts w:ascii="Palatino Linotype" w:hAnsi="Palatino Linotype"/>
          <w:sz w:val="20"/>
          <w:szCs w:val="20"/>
        </w:rPr>
        <w:t xml:space="preserve"> V (Jakarta: Badan Pengembangan dan Pembinaan Bahasa, 2016), 23.</w:t>
      </w:r>
    </w:p>
  </w:footnote>
  <w:footnote w:id="50">
    <w:p w:rsidR="007A7747" w:rsidRPr="00F878E4" w:rsidRDefault="007A7747" w:rsidP="00F878E4">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00B430CA" w:rsidRPr="00F878E4">
        <w:rPr>
          <w:rFonts w:ascii="Palatino Linotype" w:hAnsi="Palatino Linotype"/>
          <w:sz w:val="20"/>
          <w:szCs w:val="20"/>
        </w:rPr>
        <w:t xml:space="preserve">Binsar Jonathan Nainggolan, </w:t>
      </w:r>
      <w:r w:rsidR="00B430CA" w:rsidRPr="00F878E4">
        <w:rPr>
          <w:rFonts w:ascii="Palatino Linotype" w:hAnsi="Palatino Linotype"/>
          <w:i/>
          <w:iCs/>
          <w:sz w:val="20"/>
          <w:szCs w:val="20"/>
        </w:rPr>
        <w:t>Etika Sosial Kristen</w:t>
      </w:r>
      <w:r w:rsidR="00B430CA" w:rsidRPr="00F878E4">
        <w:rPr>
          <w:rFonts w:ascii="Palatino Linotype" w:hAnsi="Palatino Linotype"/>
          <w:sz w:val="20"/>
          <w:szCs w:val="20"/>
        </w:rPr>
        <w:t xml:space="preserve"> (Jakarta: BPK Gunung Mulia, 2012), 82.</w:t>
      </w:r>
    </w:p>
  </w:footnote>
  <w:footnote w:id="51">
    <w:p w:rsidR="007A7747" w:rsidRPr="00F878E4" w:rsidRDefault="007A7747" w:rsidP="00CC1F73">
      <w:pPr>
        <w:pStyle w:val="FootnoteText"/>
        <w:ind w:firstLine="1080"/>
        <w:rPr>
          <w:rFonts w:ascii="Palatino Linotype" w:hAnsi="Palatino Linotype"/>
        </w:rPr>
      </w:pPr>
      <w:r w:rsidRPr="00F878E4">
        <w:rPr>
          <w:rStyle w:val="FootnoteReference"/>
          <w:rFonts w:ascii="Palatino Linotype" w:hAnsi="Palatino Linotype"/>
        </w:rPr>
        <w:footnoteRef/>
      </w:r>
      <w:r w:rsidR="00B430CA" w:rsidRPr="00F878E4">
        <w:rPr>
          <w:rFonts w:ascii="Palatino Linotype" w:hAnsi="Palatino Linotype"/>
        </w:rPr>
        <w:t xml:space="preserve">Nicholas Wolterstorff, </w:t>
      </w:r>
      <w:r w:rsidR="00B430CA" w:rsidRPr="00F878E4">
        <w:rPr>
          <w:rFonts w:ascii="Palatino Linotype" w:hAnsi="Palatino Linotype"/>
          <w:i/>
          <w:iCs/>
        </w:rPr>
        <w:t>Keadilan dan Kasih: Pemikiran Kristen tentang Hak dan Martabat Manusia</w:t>
      </w:r>
      <w:r w:rsidR="00B430CA" w:rsidRPr="00F878E4">
        <w:rPr>
          <w:rFonts w:ascii="Palatino Linotype" w:hAnsi="Palatino Linotype"/>
        </w:rPr>
        <w:t xml:space="preserve">, </w:t>
      </w:r>
      <w:r w:rsidR="009E2E1E" w:rsidRPr="00F878E4">
        <w:rPr>
          <w:rFonts w:ascii="Palatino Linotype" w:hAnsi="Palatino Linotype"/>
        </w:rPr>
        <w:t>Diterjemahkan oleh</w:t>
      </w:r>
      <w:r w:rsidR="00B430CA" w:rsidRPr="00F878E4">
        <w:rPr>
          <w:rFonts w:ascii="Palatino Linotype" w:hAnsi="Palatino Linotype"/>
        </w:rPr>
        <w:t xml:space="preserve"> Tim BPK (Jakarta: BPK Gunung Mulia, 2019), 68–70.</w:t>
      </w:r>
      <w:r w:rsidRPr="00F878E4">
        <w:rPr>
          <w:rFonts w:ascii="Palatino Linotype" w:hAnsi="Palatino Linotype"/>
        </w:rPr>
        <w:t xml:space="preserve"> </w:t>
      </w:r>
    </w:p>
  </w:footnote>
  <w:footnote w:id="52">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Hendra Widjaja, </w:t>
      </w:r>
      <w:r w:rsidR="00B430CA" w:rsidRPr="00F878E4">
        <w:rPr>
          <w:rFonts w:ascii="Palatino Linotype" w:hAnsi="Palatino Linotype"/>
          <w:i/>
          <w:iCs/>
          <w:sz w:val="20"/>
          <w:szCs w:val="20"/>
        </w:rPr>
        <w:t>Gereja dan Keadilan Sosial</w:t>
      </w:r>
      <w:r w:rsidR="00B430CA" w:rsidRPr="00F878E4">
        <w:rPr>
          <w:rFonts w:ascii="Palatino Linotype" w:hAnsi="Palatino Linotype"/>
          <w:sz w:val="20"/>
          <w:szCs w:val="20"/>
        </w:rPr>
        <w:t xml:space="preserve"> (Jakarta: BPK Gunung Mulia, 2015), 58–59.</w:t>
      </w:r>
    </w:p>
  </w:footnote>
  <w:footnote w:id="53">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Yohanes Widyapranawa, </w:t>
      </w:r>
      <w:r w:rsidR="00B430CA" w:rsidRPr="00F878E4">
        <w:rPr>
          <w:rFonts w:ascii="Palatino Linotype" w:hAnsi="Palatino Linotype"/>
          <w:i/>
          <w:iCs/>
          <w:sz w:val="20"/>
          <w:szCs w:val="20"/>
        </w:rPr>
        <w:t>Tafsiran Kitab Nabi Yesaya</w:t>
      </w:r>
      <w:r w:rsidR="00B430CA" w:rsidRPr="00F878E4">
        <w:rPr>
          <w:rFonts w:ascii="Palatino Linotype" w:hAnsi="Palatino Linotype"/>
          <w:sz w:val="20"/>
          <w:szCs w:val="20"/>
        </w:rPr>
        <w:t xml:space="preserve"> (Yogyakarta: Kanisius, 2008), 25.</w:t>
      </w:r>
    </w:p>
  </w:footnote>
  <w:footnote w:id="54">
    <w:p w:rsidR="007A7747" w:rsidRPr="00F878E4" w:rsidRDefault="007A7747" w:rsidP="00F878E4">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Agustinus, </w:t>
      </w:r>
      <w:r w:rsidR="00B430CA" w:rsidRPr="00F878E4">
        <w:rPr>
          <w:rFonts w:ascii="Palatino Linotype" w:hAnsi="Palatino Linotype"/>
          <w:i/>
          <w:iCs/>
          <w:sz w:val="20"/>
          <w:szCs w:val="20"/>
        </w:rPr>
        <w:t>Kota Allah (De Civitate Dei)</w:t>
      </w:r>
      <w:r w:rsidR="00B430CA" w:rsidRPr="00F878E4">
        <w:rPr>
          <w:rFonts w:ascii="Palatino Linotype" w:hAnsi="Palatino Linotype"/>
          <w:sz w:val="20"/>
          <w:szCs w:val="20"/>
        </w:rPr>
        <w:t xml:space="preserve">, </w:t>
      </w:r>
      <w:r w:rsidR="009E2E1E" w:rsidRPr="00F878E4">
        <w:rPr>
          <w:rFonts w:ascii="Palatino Linotype" w:hAnsi="Palatino Linotype"/>
          <w:sz w:val="20"/>
          <w:szCs w:val="20"/>
        </w:rPr>
        <w:t>Diterjemahkan oleh</w:t>
      </w:r>
      <w:r w:rsidR="00B430CA" w:rsidRPr="00F878E4">
        <w:rPr>
          <w:rFonts w:ascii="Palatino Linotype" w:hAnsi="Palatino Linotype"/>
          <w:sz w:val="20"/>
          <w:szCs w:val="20"/>
        </w:rPr>
        <w:t xml:space="preserve"> P. Siagian (Yogyakarta: Kanisius, 1997), 115.</w:t>
      </w:r>
    </w:p>
  </w:footnote>
  <w:footnote w:id="55">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Stefanus D. Juwono, </w:t>
      </w:r>
      <w:r w:rsidR="00B430CA" w:rsidRPr="00F878E4">
        <w:rPr>
          <w:rFonts w:ascii="Palatino Linotype" w:hAnsi="Palatino Linotype"/>
          <w:i/>
          <w:iCs/>
          <w:sz w:val="20"/>
          <w:szCs w:val="20"/>
        </w:rPr>
        <w:t>Ibadah dan Keadilan: Tafsir Sosial terhadap Nabi-nabi</w:t>
      </w:r>
      <w:r w:rsidR="00B430CA" w:rsidRPr="00F878E4">
        <w:rPr>
          <w:rFonts w:ascii="Palatino Linotype" w:hAnsi="Palatino Linotype"/>
          <w:sz w:val="20"/>
          <w:szCs w:val="20"/>
        </w:rPr>
        <w:t xml:space="preserve"> (Malang: Gandum Mas, 2016), 47.</w:t>
      </w:r>
    </w:p>
  </w:footnote>
  <w:footnote w:id="56">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E. Eddy D. Widjaja, </w:t>
      </w:r>
      <w:r w:rsidR="00B430CA" w:rsidRPr="00F878E4">
        <w:rPr>
          <w:rFonts w:ascii="Palatino Linotype" w:hAnsi="Palatino Linotype"/>
          <w:i/>
          <w:iCs/>
          <w:sz w:val="20"/>
          <w:szCs w:val="20"/>
        </w:rPr>
        <w:t>Misi Gereja dalam Dunia yang Terluka</w:t>
      </w:r>
      <w:r w:rsidR="00B430CA" w:rsidRPr="00F878E4">
        <w:rPr>
          <w:rFonts w:ascii="Palatino Linotype" w:hAnsi="Palatino Linotype"/>
          <w:sz w:val="20"/>
          <w:szCs w:val="20"/>
        </w:rPr>
        <w:t xml:space="preserve"> (Surabaya: Momentum, 2014), 52.</w:t>
      </w:r>
    </w:p>
  </w:footnote>
  <w:footnote w:id="57">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Togar Manullang, </w:t>
      </w:r>
      <w:r w:rsidR="00B430CA" w:rsidRPr="00F878E4">
        <w:rPr>
          <w:rFonts w:ascii="Palatino Linotype" w:hAnsi="Palatino Linotype"/>
          <w:i/>
          <w:iCs/>
          <w:sz w:val="20"/>
          <w:szCs w:val="20"/>
        </w:rPr>
        <w:t>Gereja sebagai Agen Transformasi Sosial</w:t>
      </w:r>
      <w:r w:rsidR="00B430CA" w:rsidRPr="00F878E4">
        <w:rPr>
          <w:rFonts w:ascii="Palatino Linotype" w:hAnsi="Palatino Linotype"/>
          <w:sz w:val="20"/>
          <w:szCs w:val="20"/>
        </w:rPr>
        <w:t xml:space="preserve"> (Jakarta: BPK Gunung Mulia, 2018), 72.</w:t>
      </w:r>
    </w:p>
  </w:footnote>
  <w:footnote w:id="58">
    <w:p w:rsidR="007A7747" w:rsidRPr="00F878E4" w:rsidRDefault="007A7747" w:rsidP="00CC1F73">
      <w:pPr>
        <w:pStyle w:val="FootnoteText"/>
        <w:ind w:firstLine="1080"/>
        <w:rPr>
          <w:rFonts w:ascii="Palatino Linotype" w:hAnsi="Palatino Linotype"/>
        </w:rPr>
      </w:pPr>
      <w:r w:rsidRPr="00F878E4">
        <w:rPr>
          <w:rStyle w:val="FootnoteReference"/>
          <w:rFonts w:ascii="Palatino Linotype" w:hAnsi="Palatino Linotype"/>
        </w:rPr>
        <w:footnoteRef/>
      </w:r>
      <w:r w:rsidR="00B430CA" w:rsidRPr="00F878E4">
        <w:rPr>
          <w:rFonts w:ascii="Palatino Linotype" w:hAnsi="Palatino Linotype"/>
        </w:rPr>
        <w:t xml:space="preserve">Martin L. Doenitz, </w:t>
      </w:r>
      <w:r w:rsidR="00B430CA" w:rsidRPr="00F878E4">
        <w:rPr>
          <w:rFonts w:ascii="Palatino Linotype" w:hAnsi="Palatino Linotype"/>
          <w:i/>
          <w:iCs/>
        </w:rPr>
        <w:t>Etika Kristen: Tanggung Jawab Moral dalam Terang Firman Tuhan</w:t>
      </w:r>
      <w:r w:rsidR="00B430CA" w:rsidRPr="00F878E4">
        <w:rPr>
          <w:rFonts w:ascii="Palatino Linotype" w:hAnsi="Palatino Linotype"/>
        </w:rPr>
        <w:t xml:space="preserve"> (Jakarta: BPK Gunung Mulia, 2011), 56.</w:t>
      </w:r>
    </w:p>
  </w:footnote>
  <w:footnote w:id="59">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Tim O’Brien, </w:t>
      </w:r>
      <w:r w:rsidR="00B430CA" w:rsidRPr="00F878E4">
        <w:rPr>
          <w:rFonts w:ascii="Palatino Linotype" w:hAnsi="Palatino Linotype"/>
          <w:i/>
          <w:iCs/>
          <w:sz w:val="20"/>
          <w:szCs w:val="20"/>
        </w:rPr>
        <w:t>Gereja dan Keadilan Sosial: Peran Gereja dalam Masyarakat Modern</w:t>
      </w:r>
      <w:r w:rsidR="00B430CA" w:rsidRPr="00F878E4">
        <w:rPr>
          <w:rFonts w:ascii="Palatino Linotype" w:hAnsi="Palatino Linotype"/>
          <w:sz w:val="20"/>
          <w:szCs w:val="20"/>
        </w:rPr>
        <w:t xml:space="preserve"> (Jakarta: BPK Gunung Mulia, 2019), 105.</w:t>
      </w:r>
    </w:p>
  </w:footnote>
  <w:footnote w:id="60">
    <w:p w:rsidR="00B430CA" w:rsidRPr="00E766BF" w:rsidRDefault="007A7747" w:rsidP="00CC1F73">
      <w:pPr>
        <w:pStyle w:val="NormalWeb"/>
        <w:spacing w:before="0" w:beforeAutospacing="0" w:after="0" w:afterAutospacing="0"/>
        <w:ind w:firstLine="1080"/>
        <w:jc w:val="both"/>
        <w:rPr>
          <w:rFonts w:ascii="Palatino Linotype" w:hAnsi="Palatino Linotype"/>
          <w:sz w:val="20"/>
        </w:rPr>
      </w:pPr>
      <w:r w:rsidRPr="00E766BF">
        <w:rPr>
          <w:rStyle w:val="FootnoteReference"/>
          <w:rFonts w:ascii="Palatino Linotype" w:hAnsi="Palatino Linotype"/>
          <w:sz w:val="20"/>
        </w:rPr>
        <w:footnoteRef/>
      </w:r>
      <w:r w:rsidR="00B430CA" w:rsidRPr="00E766BF">
        <w:rPr>
          <w:rFonts w:ascii="Palatino Linotype" w:hAnsi="Palatino Linotype"/>
          <w:sz w:val="20"/>
        </w:rPr>
        <w:t xml:space="preserve">Yohanes Widyapranawa, </w:t>
      </w:r>
      <w:r w:rsidR="00B430CA" w:rsidRPr="00E766BF">
        <w:rPr>
          <w:rFonts w:ascii="Palatino Linotype" w:hAnsi="Palatino Linotype"/>
          <w:i/>
          <w:iCs/>
          <w:sz w:val="20"/>
        </w:rPr>
        <w:t>Tafsiran Kitab Nabi Yesaya</w:t>
      </w:r>
      <w:r w:rsidR="00B430CA" w:rsidRPr="00E766BF">
        <w:rPr>
          <w:rFonts w:ascii="Palatino Linotype" w:hAnsi="Palatino Linotype"/>
          <w:sz w:val="20"/>
        </w:rPr>
        <w:t xml:space="preserve"> (Yogyakarta: Kanisius, 2008), 28.</w:t>
      </w:r>
    </w:p>
    <w:p w:rsidR="007A7747" w:rsidRPr="00E766BF" w:rsidRDefault="007A7747">
      <w:pPr>
        <w:pStyle w:val="FootnoteText"/>
        <w:rPr>
          <w:rFonts w:ascii="Palatino Linotype" w:hAnsi="Palatino Linotype"/>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13580"/>
    <w:multiLevelType w:val="multilevel"/>
    <w:tmpl w:val="7188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743301"/>
    <w:multiLevelType w:val="multilevel"/>
    <w:tmpl w:val="EE72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73111B"/>
    <w:multiLevelType w:val="multilevel"/>
    <w:tmpl w:val="D81C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3B2698"/>
    <w:multiLevelType w:val="multilevel"/>
    <w:tmpl w:val="A616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2B"/>
    <w:rsid w:val="000139AA"/>
    <w:rsid w:val="00042A63"/>
    <w:rsid w:val="000750D1"/>
    <w:rsid w:val="000852E4"/>
    <w:rsid w:val="000860EC"/>
    <w:rsid w:val="000A07CD"/>
    <w:rsid w:val="000C116A"/>
    <w:rsid w:val="000C4D50"/>
    <w:rsid w:val="00110963"/>
    <w:rsid w:val="001119CC"/>
    <w:rsid w:val="00132F24"/>
    <w:rsid w:val="00166433"/>
    <w:rsid w:val="001A3193"/>
    <w:rsid w:val="001A3992"/>
    <w:rsid w:val="001D50A0"/>
    <w:rsid w:val="00237076"/>
    <w:rsid w:val="00243478"/>
    <w:rsid w:val="00266090"/>
    <w:rsid w:val="00286681"/>
    <w:rsid w:val="002C01F6"/>
    <w:rsid w:val="00315706"/>
    <w:rsid w:val="00347D32"/>
    <w:rsid w:val="003A7603"/>
    <w:rsid w:val="004154E9"/>
    <w:rsid w:val="004518EF"/>
    <w:rsid w:val="00454CE4"/>
    <w:rsid w:val="004F2BE2"/>
    <w:rsid w:val="00536424"/>
    <w:rsid w:val="005533F3"/>
    <w:rsid w:val="005962D6"/>
    <w:rsid w:val="00600EEF"/>
    <w:rsid w:val="00607171"/>
    <w:rsid w:val="00617C82"/>
    <w:rsid w:val="006219B4"/>
    <w:rsid w:val="0067263F"/>
    <w:rsid w:val="00677DD8"/>
    <w:rsid w:val="007232AD"/>
    <w:rsid w:val="00734D0C"/>
    <w:rsid w:val="00741FD5"/>
    <w:rsid w:val="0078018F"/>
    <w:rsid w:val="007A3B6E"/>
    <w:rsid w:val="007A7747"/>
    <w:rsid w:val="00846713"/>
    <w:rsid w:val="008609B5"/>
    <w:rsid w:val="00863716"/>
    <w:rsid w:val="0087289E"/>
    <w:rsid w:val="008A470B"/>
    <w:rsid w:val="008A4D10"/>
    <w:rsid w:val="00907B57"/>
    <w:rsid w:val="00972A9E"/>
    <w:rsid w:val="009C15F7"/>
    <w:rsid w:val="009C4051"/>
    <w:rsid w:val="009E2E1E"/>
    <w:rsid w:val="009E7565"/>
    <w:rsid w:val="00A75257"/>
    <w:rsid w:val="00A760F7"/>
    <w:rsid w:val="00AB2F91"/>
    <w:rsid w:val="00AE60A7"/>
    <w:rsid w:val="00B430CA"/>
    <w:rsid w:val="00B71FC1"/>
    <w:rsid w:val="00BD69D5"/>
    <w:rsid w:val="00BE795F"/>
    <w:rsid w:val="00C35477"/>
    <w:rsid w:val="00C3599D"/>
    <w:rsid w:val="00C54906"/>
    <w:rsid w:val="00C605E9"/>
    <w:rsid w:val="00C66D09"/>
    <w:rsid w:val="00C94189"/>
    <w:rsid w:val="00CC1F73"/>
    <w:rsid w:val="00CD5AB5"/>
    <w:rsid w:val="00CF4721"/>
    <w:rsid w:val="00D1062B"/>
    <w:rsid w:val="00D83E9F"/>
    <w:rsid w:val="00D84C67"/>
    <w:rsid w:val="00DA49B8"/>
    <w:rsid w:val="00DE25D4"/>
    <w:rsid w:val="00E11773"/>
    <w:rsid w:val="00E14615"/>
    <w:rsid w:val="00E766BF"/>
    <w:rsid w:val="00E83A7F"/>
    <w:rsid w:val="00EC5C58"/>
    <w:rsid w:val="00EE2047"/>
    <w:rsid w:val="00EE42FE"/>
    <w:rsid w:val="00F405B1"/>
    <w:rsid w:val="00F878E4"/>
    <w:rsid w:val="00FE49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062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A76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62B"/>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D106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semiHidden/>
    <w:rsid w:val="00A760F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66433"/>
    <w:rPr>
      <w:color w:val="0000FF" w:themeColor="hyperlink"/>
      <w:u w:val="single"/>
    </w:rPr>
  </w:style>
  <w:style w:type="paragraph" w:styleId="FootnoteText">
    <w:name w:val="footnote text"/>
    <w:basedOn w:val="Normal"/>
    <w:link w:val="FootnoteTextChar"/>
    <w:uiPriority w:val="99"/>
    <w:semiHidden/>
    <w:unhideWhenUsed/>
    <w:rsid w:val="004518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8EF"/>
    <w:rPr>
      <w:sz w:val="20"/>
      <w:szCs w:val="20"/>
    </w:rPr>
  </w:style>
  <w:style w:type="character" w:styleId="FootnoteReference">
    <w:name w:val="footnote reference"/>
    <w:basedOn w:val="DefaultParagraphFont"/>
    <w:uiPriority w:val="99"/>
    <w:semiHidden/>
    <w:unhideWhenUsed/>
    <w:rsid w:val="004518EF"/>
    <w:rPr>
      <w:vertAlign w:val="superscript"/>
    </w:rPr>
  </w:style>
  <w:style w:type="paragraph" w:styleId="Header">
    <w:name w:val="header"/>
    <w:basedOn w:val="Normal"/>
    <w:link w:val="HeaderChar"/>
    <w:uiPriority w:val="99"/>
    <w:unhideWhenUsed/>
    <w:rsid w:val="00617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C82"/>
  </w:style>
  <w:style w:type="paragraph" w:styleId="Footer">
    <w:name w:val="footer"/>
    <w:basedOn w:val="Normal"/>
    <w:link w:val="FooterChar"/>
    <w:uiPriority w:val="99"/>
    <w:unhideWhenUsed/>
    <w:rsid w:val="00617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062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A76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62B"/>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D106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semiHidden/>
    <w:rsid w:val="00A760F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66433"/>
    <w:rPr>
      <w:color w:val="0000FF" w:themeColor="hyperlink"/>
      <w:u w:val="single"/>
    </w:rPr>
  </w:style>
  <w:style w:type="paragraph" w:styleId="FootnoteText">
    <w:name w:val="footnote text"/>
    <w:basedOn w:val="Normal"/>
    <w:link w:val="FootnoteTextChar"/>
    <w:uiPriority w:val="99"/>
    <w:semiHidden/>
    <w:unhideWhenUsed/>
    <w:rsid w:val="004518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8EF"/>
    <w:rPr>
      <w:sz w:val="20"/>
      <w:szCs w:val="20"/>
    </w:rPr>
  </w:style>
  <w:style w:type="character" w:styleId="FootnoteReference">
    <w:name w:val="footnote reference"/>
    <w:basedOn w:val="DefaultParagraphFont"/>
    <w:uiPriority w:val="99"/>
    <w:semiHidden/>
    <w:unhideWhenUsed/>
    <w:rsid w:val="004518EF"/>
    <w:rPr>
      <w:vertAlign w:val="superscript"/>
    </w:rPr>
  </w:style>
  <w:style w:type="paragraph" w:styleId="Header">
    <w:name w:val="header"/>
    <w:basedOn w:val="Normal"/>
    <w:link w:val="HeaderChar"/>
    <w:uiPriority w:val="99"/>
    <w:unhideWhenUsed/>
    <w:rsid w:val="00617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C82"/>
  </w:style>
  <w:style w:type="paragraph" w:styleId="Footer">
    <w:name w:val="footer"/>
    <w:basedOn w:val="Normal"/>
    <w:link w:val="FooterChar"/>
    <w:uiPriority w:val="99"/>
    <w:unhideWhenUsed/>
    <w:rsid w:val="00617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1738">
      <w:bodyDiv w:val="1"/>
      <w:marLeft w:val="0"/>
      <w:marRight w:val="0"/>
      <w:marTop w:val="0"/>
      <w:marBottom w:val="0"/>
      <w:divBdr>
        <w:top w:val="none" w:sz="0" w:space="0" w:color="auto"/>
        <w:left w:val="none" w:sz="0" w:space="0" w:color="auto"/>
        <w:bottom w:val="none" w:sz="0" w:space="0" w:color="auto"/>
        <w:right w:val="none" w:sz="0" w:space="0" w:color="auto"/>
      </w:divBdr>
    </w:div>
    <w:div w:id="628319627">
      <w:bodyDiv w:val="1"/>
      <w:marLeft w:val="0"/>
      <w:marRight w:val="0"/>
      <w:marTop w:val="0"/>
      <w:marBottom w:val="0"/>
      <w:divBdr>
        <w:top w:val="none" w:sz="0" w:space="0" w:color="auto"/>
        <w:left w:val="none" w:sz="0" w:space="0" w:color="auto"/>
        <w:bottom w:val="none" w:sz="0" w:space="0" w:color="auto"/>
        <w:right w:val="none" w:sz="0" w:space="0" w:color="auto"/>
      </w:divBdr>
    </w:div>
    <w:div w:id="709456781">
      <w:bodyDiv w:val="1"/>
      <w:marLeft w:val="0"/>
      <w:marRight w:val="0"/>
      <w:marTop w:val="0"/>
      <w:marBottom w:val="0"/>
      <w:divBdr>
        <w:top w:val="none" w:sz="0" w:space="0" w:color="auto"/>
        <w:left w:val="none" w:sz="0" w:space="0" w:color="auto"/>
        <w:bottom w:val="none" w:sz="0" w:space="0" w:color="auto"/>
        <w:right w:val="none" w:sz="0" w:space="0" w:color="auto"/>
      </w:divBdr>
    </w:div>
    <w:div w:id="1247349516">
      <w:bodyDiv w:val="1"/>
      <w:marLeft w:val="0"/>
      <w:marRight w:val="0"/>
      <w:marTop w:val="0"/>
      <w:marBottom w:val="0"/>
      <w:divBdr>
        <w:top w:val="none" w:sz="0" w:space="0" w:color="auto"/>
        <w:left w:val="none" w:sz="0" w:space="0" w:color="auto"/>
        <w:bottom w:val="none" w:sz="0" w:space="0" w:color="auto"/>
        <w:right w:val="none" w:sz="0" w:space="0" w:color="auto"/>
      </w:divBdr>
    </w:div>
    <w:div w:id="1396657690">
      <w:bodyDiv w:val="1"/>
      <w:marLeft w:val="0"/>
      <w:marRight w:val="0"/>
      <w:marTop w:val="0"/>
      <w:marBottom w:val="0"/>
      <w:divBdr>
        <w:top w:val="none" w:sz="0" w:space="0" w:color="auto"/>
        <w:left w:val="none" w:sz="0" w:space="0" w:color="auto"/>
        <w:bottom w:val="none" w:sz="0" w:space="0" w:color="auto"/>
        <w:right w:val="none" w:sz="0" w:space="0" w:color="auto"/>
      </w:divBdr>
    </w:div>
    <w:div w:id="1497570565">
      <w:bodyDiv w:val="1"/>
      <w:marLeft w:val="0"/>
      <w:marRight w:val="0"/>
      <w:marTop w:val="0"/>
      <w:marBottom w:val="0"/>
      <w:divBdr>
        <w:top w:val="none" w:sz="0" w:space="0" w:color="auto"/>
        <w:left w:val="none" w:sz="0" w:space="0" w:color="auto"/>
        <w:bottom w:val="none" w:sz="0" w:space="0" w:color="auto"/>
        <w:right w:val="none" w:sz="0" w:space="0" w:color="auto"/>
      </w:divBdr>
    </w:div>
    <w:div w:id="1756395148">
      <w:bodyDiv w:val="1"/>
      <w:marLeft w:val="0"/>
      <w:marRight w:val="0"/>
      <w:marTop w:val="0"/>
      <w:marBottom w:val="0"/>
      <w:divBdr>
        <w:top w:val="none" w:sz="0" w:space="0" w:color="auto"/>
        <w:left w:val="none" w:sz="0" w:space="0" w:color="auto"/>
        <w:bottom w:val="none" w:sz="0" w:space="0" w:color="auto"/>
        <w:right w:val="none" w:sz="0" w:space="0" w:color="auto"/>
      </w:divBdr>
    </w:div>
    <w:div w:id="1913805565">
      <w:bodyDiv w:val="1"/>
      <w:marLeft w:val="0"/>
      <w:marRight w:val="0"/>
      <w:marTop w:val="0"/>
      <w:marBottom w:val="0"/>
      <w:divBdr>
        <w:top w:val="none" w:sz="0" w:space="0" w:color="auto"/>
        <w:left w:val="none" w:sz="0" w:space="0" w:color="auto"/>
        <w:bottom w:val="none" w:sz="0" w:space="0" w:color="auto"/>
        <w:right w:val="none" w:sz="0" w:space="0" w:color="auto"/>
      </w:divBdr>
    </w:div>
    <w:div w:id="1980568860">
      <w:bodyDiv w:val="1"/>
      <w:marLeft w:val="0"/>
      <w:marRight w:val="0"/>
      <w:marTop w:val="0"/>
      <w:marBottom w:val="0"/>
      <w:divBdr>
        <w:top w:val="none" w:sz="0" w:space="0" w:color="auto"/>
        <w:left w:val="none" w:sz="0" w:space="0" w:color="auto"/>
        <w:bottom w:val="none" w:sz="0" w:space="0" w:color="auto"/>
        <w:right w:val="none" w:sz="0" w:space="0" w:color="auto"/>
      </w:divBdr>
    </w:div>
    <w:div w:id="2072848326">
      <w:bodyDiv w:val="1"/>
      <w:marLeft w:val="0"/>
      <w:marRight w:val="0"/>
      <w:marTop w:val="0"/>
      <w:marBottom w:val="0"/>
      <w:divBdr>
        <w:top w:val="none" w:sz="0" w:space="0" w:color="auto"/>
        <w:left w:val="none" w:sz="0" w:space="0" w:color="auto"/>
        <w:bottom w:val="none" w:sz="0" w:space="0" w:color="auto"/>
        <w:right w:val="none" w:sz="0" w:space="0" w:color="auto"/>
      </w:divBdr>
    </w:div>
    <w:div w:id="208517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mmydjamirag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F302-544D-4E1A-B7D4-1ED11165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15</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78</cp:revision>
  <dcterms:created xsi:type="dcterms:W3CDTF">2026-01-29T03:21:00Z</dcterms:created>
  <dcterms:modified xsi:type="dcterms:W3CDTF">2026-01-29T09:02:00Z</dcterms:modified>
</cp:coreProperties>
</file>